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19B51" w14:textId="51C641CC" w:rsidR="00E561DC" w:rsidRPr="00C43DDE" w:rsidRDefault="00833509" w:rsidP="001B6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>8</w:t>
      </w:r>
      <w:r w:rsidR="006E78FB" w:rsidRPr="00C43DDE">
        <w:rPr>
          <w:rFonts w:ascii="Times New Roman" w:hAnsi="Times New Roman" w:cs="Times New Roman"/>
          <w:b/>
          <w:sz w:val="28"/>
          <w:szCs w:val="28"/>
          <w:lang w:val="lt-LT"/>
        </w:rPr>
        <w:t>.</w:t>
      </w:r>
      <w:r w:rsidR="00936E6F">
        <w:rPr>
          <w:rFonts w:ascii="Times New Roman" w:hAnsi="Times New Roman" w:cs="Times New Roman"/>
          <w:b/>
          <w:sz w:val="28"/>
          <w:szCs w:val="28"/>
          <w:lang w:val="lt-LT"/>
        </w:rPr>
        <w:t>4</w:t>
      </w:r>
      <w:r w:rsidR="006E78FB" w:rsidRPr="00C43DDE">
        <w:rPr>
          <w:rFonts w:ascii="Times New Roman" w:hAnsi="Times New Roman" w:cs="Times New Roman"/>
          <w:b/>
          <w:sz w:val="28"/>
          <w:szCs w:val="28"/>
          <w:lang w:val="lt-LT"/>
        </w:rPr>
        <w:t xml:space="preserve">. </w:t>
      </w:r>
      <w:r w:rsidR="001B6866" w:rsidRPr="00C43DDE">
        <w:rPr>
          <w:rFonts w:ascii="Times New Roman" w:hAnsi="Times New Roman" w:cs="Times New Roman"/>
          <w:b/>
          <w:sz w:val="28"/>
          <w:szCs w:val="28"/>
          <w:lang w:val="lt-LT"/>
        </w:rPr>
        <w:t>TECHNINIAI PARAMETRAI IR REIKALAVIMAI</w:t>
      </w:r>
      <w:r w:rsidR="006E78FB" w:rsidRPr="00C43DDE">
        <w:rPr>
          <w:rFonts w:ascii="Times New Roman" w:hAnsi="Times New Roman" w:cs="Times New Roman"/>
          <w:b/>
          <w:sz w:val="28"/>
          <w:szCs w:val="28"/>
          <w:lang w:val="lt-LT"/>
        </w:rPr>
        <w:t xml:space="preserve"> </w:t>
      </w:r>
    </w:p>
    <w:p w14:paraId="7C0C2466" w14:textId="1A57D776" w:rsidR="001B6866" w:rsidRPr="00C43DDE" w:rsidRDefault="00D67D75" w:rsidP="001B6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C43DDE">
        <w:rPr>
          <w:rFonts w:ascii="Times New Roman" w:hAnsi="Times New Roman" w:cs="Times New Roman"/>
          <w:b/>
          <w:sz w:val="28"/>
          <w:szCs w:val="28"/>
          <w:lang w:val="lt-LT"/>
        </w:rPr>
        <w:t>VALDIKLIA</w:t>
      </w:r>
      <w:r w:rsidR="006E78FB" w:rsidRPr="00C43DDE">
        <w:rPr>
          <w:rFonts w:ascii="Times New Roman" w:hAnsi="Times New Roman" w:cs="Times New Roman"/>
          <w:b/>
          <w:sz w:val="28"/>
          <w:szCs w:val="28"/>
          <w:lang w:val="lt-LT"/>
        </w:rPr>
        <w:t>MS</w:t>
      </w:r>
    </w:p>
    <w:p w14:paraId="399CCCCD" w14:textId="77777777" w:rsidR="001B6866" w:rsidRPr="002E0141" w:rsidRDefault="001B6866" w:rsidP="001B6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11447838" w14:textId="76BA856B" w:rsidR="00E561DC" w:rsidRPr="002E0141" w:rsidRDefault="002E0141" w:rsidP="00E561DC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  <w:lang w:val="lt-LT"/>
        </w:rPr>
      </w:pPr>
      <w:r w:rsidRPr="002E0141">
        <w:rPr>
          <w:rFonts w:ascii="Times New Roman" w:hAnsi="Times New Roman" w:cs="Times New Roman"/>
          <w:bCs/>
          <w:i/>
          <w:iCs/>
          <w:sz w:val="24"/>
          <w:szCs w:val="24"/>
          <w:lang w:val="lt-LT"/>
        </w:rPr>
        <w:t>Projektuotojas</w:t>
      </w:r>
      <w:r w:rsidR="00E561DC" w:rsidRPr="002E0141">
        <w:rPr>
          <w:rFonts w:ascii="Times New Roman" w:hAnsi="Times New Roman" w:cs="Times New Roman"/>
          <w:bCs/>
          <w:i/>
          <w:iCs/>
          <w:sz w:val="24"/>
          <w:szCs w:val="24"/>
          <w:lang w:val="lt-LT"/>
        </w:rPr>
        <w:t xml:space="preserve"> </w:t>
      </w:r>
      <w:r w:rsidRPr="002E0141">
        <w:rPr>
          <w:rFonts w:ascii="Times New Roman" w:hAnsi="Times New Roman" w:cs="Times New Roman"/>
          <w:bCs/>
          <w:i/>
          <w:iCs/>
          <w:sz w:val="24"/>
          <w:szCs w:val="24"/>
          <w:lang w:val="lt-LT"/>
        </w:rPr>
        <w:t>parenka valdiklio tipą prie šviestuvo:</w:t>
      </w:r>
    </w:p>
    <w:p w14:paraId="38693A49" w14:textId="77777777" w:rsidR="00E561DC" w:rsidRPr="002E0141" w:rsidRDefault="00E561DC" w:rsidP="00E561DC">
      <w:pPr>
        <w:spacing w:after="0"/>
        <w:rPr>
          <w:rFonts w:ascii="Times New Roman" w:hAnsi="Times New Roman" w:cs="Times New Roman"/>
          <w:b/>
          <w:sz w:val="20"/>
          <w:szCs w:val="20"/>
          <w:lang w:val="lt-LT"/>
        </w:rPr>
      </w:pPr>
    </w:p>
    <w:p w14:paraId="48DA83B6" w14:textId="517360EE" w:rsidR="00D86FEF" w:rsidRPr="002E0141" w:rsidRDefault="00D86FEF" w:rsidP="00D86FEF">
      <w:pPr>
        <w:pStyle w:val="Default"/>
        <w:rPr>
          <w:b/>
          <w:sz w:val="20"/>
          <w:szCs w:val="20"/>
        </w:rPr>
      </w:pPr>
      <w:r w:rsidRPr="002E0141">
        <w:rPr>
          <w:b/>
          <w:bCs/>
          <w:sz w:val="20"/>
          <w:szCs w:val="20"/>
        </w:rPr>
        <w:t xml:space="preserve">Šviestuvo individualaus valdymo NEMA valdikliai privalo: </w:t>
      </w:r>
    </w:p>
    <w:tbl>
      <w:tblPr>
        <w:tblW w:w="49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10204"/>
      </w:tblGrid>
      <w:tr w:rsidR="002E0141" w:rsidRPr="002E0141" w14:paraId="3B5932B7" w14:textId="77777777" w:rsidTr="002602D8">
        <w:trPr>
          <w:trHeight w:val="227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67D9" w14:textId="77777777" w:rsidR="00D86FEF" w:rsidRPr="002E0141" w:rsidRDefault="00D86FEF" w:rsidP="002602D8">
            <w:pPr>
              <w:numPr>
                <w:ilvl w:val="0"/>
                <w:numId w:val="1"/>
              </w:numPr>
              <w:tabs>
                <w:tab w:val="clear" w:pos="360"/>
                <w:tab w:val="num" w:pos="29"/>
                <w:tab w:val="center" w:pos="4153"/>
                <w:tab w:val="right" w:pos="8306"/>
              </w:tabs>
              <w:suppressAutoHyphens/>
              <w:spacing w:after="0" w:line="240" w:lineRule="auto"/>
              <w:ind w:left="0" w:firstLine="0"/>
              <w:rPr>
                <w:rFonts w:ascii="Times New Roman" w:eastAsia="Batang" w:hAnsi="Times New Roman" w:cs="Times New Roman"/>
                <w:sz w:val="20"/>
                <w:szCs w:val="20"/>
                <w:lang w:val="lt-LT" w:eastAsia="zh-CN"/>
              </w:rPr>
            </w:pPr>
          </w:p>
        </w:tc>
        <w:tc>
          <w:tcPr>
            <w:tcW w:w="4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EBFE" w14:textId="66BA5689" w:rsidR="00D86FEF" w:rsidRPr="002E0141" w:rsidRDefault="00E91352" w:rsidP="002602D8">
            <w:pPr>
              <w:pStyle w:val="Default"/>
              <w:rPr>
                <w:rFonts w:eastAsia="Times New Roman"/>
                <w:sz w:val="20"/>
                <w:szCs w:val="20"/>
                <w:lang w:eastAsia="zh-CN"/>
              </w:rPr>
            </w:pPr>
            <w:r w:rsidRPr="002E0141">
              <w:rPr>
                <w:sz w:val="20"/>
                <w:szCs w:val="20"/>
              </w:rPr>
              <w:t>būti montuojami šviestuvo išorėje per iš anksto numatytą, standartizuotą 7 kontaktų „</w:t>
            </w:r>
            <w:proofErr w:type="spellStart"/>
            <w:r w:rsidRPr="002E0141">
              <w:rPr>
                <w:sz w:val="20"/>
                <w:szCs w:val="20"/>
              </w:rPr>
              <w:t>plug&amp;play</w:t>
            </w:r>
            <w:proofErr w:type="spellEnd"/>
            <w:r w:rsidRPr="002E0141">
              <w:rPr>
                <w:sz w:val="20"/>
                <w:szCs w:val="20"/>
              </w:rPr>
              <w:t xml:space="preserve">“ lizdą „NEMA“ (NEMA 7-PIN </w:t>
            </w:r>
            <w:proofErr w:type="spellStart"/>
            <w:r w:rsidRPr="002E0141">
              <w:rPr>
                <w:sz w:val="20"/>
                <w:szCs w:val="20"/>
              </w:rPr>
              <w:t>standart</w:t>
            </w:r>
            <w:proofErr w:type="spellEnd"/>
            <w:r w:rsidRPr="002E0141">
              <w:rPr>
                <w:sz w:val="20"/>
                <w:szCs w:val="20"/>
              </w:rPr>
              <w:t xml:space="preserve"> </w:t>
            </w:r>
            <w:proofErr w:type="spellStart"/>
            <w:r w:rsidRPr="002E0141">
              <w:rPr>
                <w:sz w:val="20"/>
                <w:szCs w:val="20"/>
              </w:rPr>
              <w:t>connector</w:t>
            </w:r>
            <w:proofErr w:type="spellEnd"/>
            <w:r w:rsidRPr="002E0141">
              <w:rPr>
                <w:sz w:val="20"/>
                <w:szCs w:val="20"/>
              </w:rPr>
              <w:t xml:space="preserve">) šviestuvo korpuse; </w:t>
            </w:r>
          </w:p>
        </w:tc>
      </w:tr>
      <w:tr w:rsidR="002E0141" w:rsidRPr="002E0141" w14:paraId="22F683B1" w14:textId="77777777" w:rsidTr="002602D8">
        <w:trPr>
          <w:trHeight w:val="227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72B7" w14:textId="77777777" w:rsidR="00D86FEF" w:rsidRPr="002E0141" w:rsidRDefault="00D86FEF" w:rsidP="002602D8">
            <w:pPr>
              <w:numPr>
                <w:ilvl w:val="0"/>
                <w:numId w:val="1"/>
              </w:numPr>
              <w:tabs>
                <w:tab w:val="clear" w:pos="360"/>
                <w:tab w:val="num" w:pos="29"/>
                <w:tab w:val="center" w:pos="4153"/>
                <w:tab w:val="right" w:pos="8306"/>
              </w:tabs>
              <w:suppressAutoHyphens/>
              <w:spacing w:after="0" w:line="240" w:lineRule="auto"/>
              <w:ind w:left="0" w:firstLine="0"/>
              <w:rPr>
                <w:rFonts w:ascii="Times New Roman" w:eastAsia="Batang" w:hAnsi="Times New Roman" w:cs="Times New Roman"/>
                <w:sz w:val="20"/>
                <w:szCs w:val="20"/>
                <w:lang w:val="lt-LT" w:eastAsia="zh-CN"/>
              </w:rPr>
            </w:pPr>
          </w:p>
        </w:tc>
        <w:tc>
          <w:tcPr>
            <w:tcW w:w="4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C753" w14:textId="7B4C14D9" w:rsidR="00D86FEF" w:rsidRPr="002E0141" w:rsidRDefault="00E91352" w:rsidP="002602D8">
            <w:pPr>
              <w:pStyle w:val="Default"/>
              <w:rPr>
                <w:rFonts w:eastAsia="Times New Roman"/>
                <w:sz w:val="20"/>
                <w:szCs w:val="20"/>
                <w:lang w:eastAsia="zh-CN"/>
              </w:rPr>
            </w:pPr>
            <w:r w:rsidRPr="002E0141">
              <w:rPr>
                <w:sz w:val="20"/>
                <w:szCs w:val="20"/>
              </w:rPr>
              <w:t xml:space="preserve">komunikuoti tiesiogiai su valdymo ir kontrolės sistemos „citylight.net“ programine įranga arba su spintos valdikliu tarptautinius CELENEC standartus atitinkančio bevielio ryšio technologijų pagalba. Galimi ryšio kaštai turi būti įskaičiuoti į pasiūlymo kainą. Pasirinkdamas tam tikrą ryšio technologiją, tiekėjas privalo įvertinti šio ryšio stabilumą, patikimumą, saugumą, prieinamumą bei teritorijos padengimą Vilniaus apskrityje; </w:t>
            </w:r>
          </w:p>
        </w:tc>
      </w:tr>
      <w:tr w:rsidR="002E0141" w:rsidRPr="002E0141" w14:paraId="262F4FC0" w14:textId="77777777" w:rsidTr="002602D8">
        <w:trPr>
          <w:trHeight w:val="227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EB73" w14:textId="77777777" w:rsidR="00D86FEF" w:rsidRPr="002E0141" w:rsidRDefault="00D86FEF" w:rsidP="002602D8">
            <w:pPr>
              <w:numPr>
                <w:ilvl w:val="0"/>
                <w:numId w:val="1"/>
              </w:numPr>
              <w:tabs>
                <w:tab w:val="clear" w:pos="360"/>
                <w:tab w:val="num" w:pos="29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</w:p>
        </w:tc>
        <w:tc>
          <w:tcPr>
            <w:tcW w:w="4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5EC" w14:textId="14459F11" w:rsidR="00D86FEF" w:rsidRPr="002E0141" w:rsidRDefault="00E91352" w:rsidP="002602D8">
            <w:pPr>
              <w:pStyle w:val="Default"/>
              <w:rPr>
                <w:rFonts w:eastAsia="Times New Roman"/>
                <w:sz w:val="20"/>
                <w:szCs w:val="20"/>
                <w:lang w:eastAsia="zh-CN"/>
              </w:rPr>
            </w:pPr>
            <w:r w:rsidRPr="002E0141">
              <w:rPr>
                <w:sz w:val="20"/>
                <w:szCs w:val="20"/>
              </w:rPr>
              <w:t xml:space="preserve">veikti pagal nustatytus pritemdymo profilius priklausomai nuo laiko ir apšvietos lygio (lx); </w:t>
            </w:r>
          </w:p>
        </w:tc>
      </w:tr>
      <w:tr w:rsidR="002E0141" w:rsidRPr="002E0141" w14:paraId="607A1482" w14:textId="77777777" w:rsidTr="002602D8">
        <w:trPr>
          <w:trHeight w:val="227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3166" w14:textId="77777777" w:rsidR="00D86FEF" w:rsidRPr="002E0141" w:rsidRDefault="00D86FEF" w:rsidP="002602D8">
            <w:pPr>
              <w:numPr>
                <w:ilvl w:val="0"/>
                <w:numId w:val="1"/>
              </w:numPr>
              <w:tabs>
                <w:tab w:val="clear" w:pos="360"/>
                <w:tab w:val="num" w:pos="29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</w:p>
        </w:tc>
        <w:tc>
          <w:tcPr>
            <w:tcW w:w="4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D5D1" w14:textId="6AF75B06" w:rsidR="00D86FEF" w:rsidRPr="002E0141" w:rsidRDefault="00E91352" w:rsidP="002602D8">
            <w:pPr>
              <w:pStyle w:val="Default"/>
              <w:rPr>
                <w:rFonts w:eastAsia="Times New Roman"/>
                <w:sz w:val="20"/>
                <w:szCs w:val="20"/>
                <w:lang w:eastAsia="zh-CN"/>
              </w:rPr>
            </w:pPr>
            <w:r w:rsidRPr="002E0141">
              <w:rPr>
                <w:sz w:val="20"/>
                <w:szCs w:val="20"/>
              </w:rPr>
              <w:t xml:space="preserve">perduoti susietų jutiklių duomenis tiesiogiai kitiems šviestuvų valdikliams; </w:t>
            </w:r>
          </w:p>
        </w:tc>
      </w:tr>
      <w:tr w:rsidR="002E0141" w:rsidRPr="002E0141" w14:paraId="2BFD1BC1" w14:textId="77777777" w:rsidTr="002602D8">
        <w:trPr>
          <w:trHeight w:val="227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B4B7" w14:textId="77777777" w:rsidR="00D86FEF" w:rsidRPr="002E0141" w:rsidRDefault="00D86FEF" w:rsidP="002602D8">
            <w:pPr>
              <w:numPr>
                <w:ilvl w:val="0"/>
                <w:numId w:val="1"/>
              </w:numPr>
              <w:tabs>
                <w:tab w:val="clear" w:pos="360"/>
                <w:tab w:val="num" w:pos="29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</w:p>
        </w:tc>
        <w:tc>
          <w:tcPr>
            <w:tcW w:w="4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A321" w14:textId="5E0E9A13" w:rsidR="00D86FEF" w:rsidRPr="002E0141" w:rsidRDefault="00E91352" w:rsidP="002602D8">
            <w:pPr>
              <w:pStyle w:val="Default"/>
              <w:rPr>
                <w:rFonts w:eastAsia="Times New Roman"/>
                <w:sz w:val="20"/>
                <w:szCs w:val="20"/>
                <w:lang w:eastAsia="zh-CN"/>
              </w:rPr>
            </w:pPr>
            <w:r w:rsidRPr="002E0141">
              <w:rPr>
                <w:sz w:val="20"/>
                <w:szCs w:val="20"/>
              </w:rPr>
              <w:t xml:space="preserve">palaikyti DALI/DALI 2 valdymo standartus, kad atitiktų ir būtų pilnai suderinami su dauguma LED </w:t>
            </w:r>
            <w:proofErr w:type="spellStart"/>
            <w:r w:rsidRPr="002E0141">
              <w:rPr>
                <w:sz w:val="20"/>
                <w:szCs w:val="20"/>
              </w:rPr>
              <w:t>draiverių</w:t>
            </w:r>
            <w:proofErr w:type="spellEnd"/>
            <w:r w:rsidRPr="002E0141">
              <w:rPr>
                <w:sz w:val="20"/>
                <w:szCs w:val="20"/>
              </w:rPr>
              <w:t xml:space="preserve"> ir elektroninių balastinių įtaisų rinkoje; </w:t>
            </w:r>
          </w:p>
        </w:tc>
      </w:tr>
      <w:tr w:rsidR="002E0141" w:rsidRPr="002E0141" w14:paraId="25E28BA1" w14:textId="77777777" w:rsidTr="002602D8">
        <w:trPr>
          <w:trHeight w:val="227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8BD0" w14:textId="77777777" w:rsidR="00D86FEF" w:rsidRPr="002E0141" w:rsidRDefault="00D86FEF" w:rsidP="002602D8">
            <w:pPr>
              <w:numPr>
                <w:ilvl w:val="0"/>
                <w:numId w:val="1"/>
              </w:numPr>
              <w:tabs>
                <w:tab w:val="clear" w:pos="360"/>
                <w:tab w:val="num" w:pos="29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</w:p>
        </w:tc>
        <w:tc>
          <w:tcPr>
            <w:tcW w:w="4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7617" w14:textId="4E16C580" w:rsidR="00D86FEF" w:rsidRPr="002E0141" w:rsidRDefault="00E91352" w:rsidP="002602D8">
            <w:pPr>
              <w:pStyle w:val="Default"/>
              <w:rPr>
                <w:rFonts w:eastAsia="Times New Roman"/>
                <w:sz w:val="20"/>
                <w:szCs w:val="20"/>
                <w:lang w:eastAsia="zh-CN"/>
              </w:rPr>
            </w:pPr>
            <w:r w:rsidRPr="002E0141">
              <w:rPr>
                <w:sz w:val="20"/>
                <w:szCs w:val="20"/>
              </w:rPr>
              <w:t xml:space="preserve">pritemdyti šviestuvą diapazone nuo 0 iki 100% su ≤ 10 % žingsniu; </w:t>
            </w:r>
          </w:p>
        </w:tc>
      </w:tr>
      <w:tr w:rsidR="002E0141" w:rsidRPr="002E0141" w14:paraId="5CF148CD" w14:textId="77777777" w:rsidTr="002602D8">
        <w:trPr>
          <w:trHeight w:val="227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72E1" w14:textId="77777777" w:rsidR="00D86FEF" w:rsidRPr="002E0141" w:rsidRDefault="00D86FEF" w:rsidP="002602D8">
            <w:pPr>
              <w:numPr>
                <w:ilvl w:val="0"/>
                <w:numId w:val="1"/>
              </w:numPr>
              <w:tabs>
                <w:tab w:val="clear" w:pos="360"/>
                <w:tab w:val="num" w:pos="29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</w:p>
        </w:tc>
        <w:tc>
          <w:tcPr>
            <w:tcW w:w="4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2850" w14:textId="303663B0" w:rsidR="00D86FEF" w:rsidRPr="002E0141" w:rsidRDefault="00E91352" w:rsidP="002602D8">
            <w:pPr>
              <w:pStyle w:val="Default"/>
              <w:rPr>
                <w:sz w:val="20"/>
                <w:szCs w:val="20"/>
              </w:rPr>
            </w:pPr>
            <w:r w:rsidRPr="002E0141">
              <w:rPr>
                <w:sz w:val="20"/>
                <w:szCs w:val="20"/>
              </w:rPr>
              <w:t xml:space="preserve">matuoti ir tikrinti bei saugoti ne rečiau nei kas 1 val. LED šviestuvo parametrus, tokius kaip: srovė, įtampa, galia, sunaudota elektros energija, darbo laikas; </w:t>
            </w:r>
          </w:p>
        </w:tc>
      </w:tr>
      <w:tr w:rsidR="002E0141" w:rsidRPr="002E0141" w14:paraId="2FB5F5E9" w14:textId="77777777" w:rsidTr="002602D8">
        <w:trPr>
          <w:trHeight w:val="227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CE8B" w14:textId="77777777" w:rsidR="00D86FEF" w:rsidRPr="002E0141" w:rsidRDefault="00D86FEF" w:rsidP="002602D8">
            <w:pPr>
              <w:numPr>
                <w:ilvl w:val="0"/>
                <w:numId w:val="1"/>
              </w:numPr>
              <w:tabs>
                <w:tab w:val="clear" w:pos="360"/>
                <w:tab w:val="num" w:pos="29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</w:p>
        </w:tc>
        <w:tc>
          <w:tcPr>
            <w:tcW w:w="4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7DD1" w14:textId="72B5992F" w:rsidR="00D86FEF" w:rsidRPr="002E0141" w:rsidRDefault="00E91352" w:rsidP="002602D8">
            <w:pPr>
              <w:pStyle w:val="Default"/>
              <w:rPr>
                <w:rFonts w:eastAsia="Times New Roman"/>
                <w:sz w:val="20"/>
                <w:szCs w:val="20"/>
                <w:lang w:eastAsia="zh-CN"/>
              </w:rPr>
            </w:pPr>
            <w:r w:rsidRPr="002E0141">
              <w:rPr>
                <w:sz w:val="20"/>
                <w:szCs w:val="20"/>
              </w:rPr>
              <w:t xml:space="preserve">tinkamai veikti realiose sąlygose, esant aplinkos temperatūrai -30°C +35°C, esant santykinei drėgmei iki 95%. </w:t>
            </w:r>
          </w:p>
        </w:tc>
      </w:tr>
      <w:tr w:rsidR="002E0141" w:rsidRPr="002E0141" w14:paraId="39B08735" w14:textId="77777777" w:rsidTr="002602D8">
        <w:trPr>
          <w:trHeight w:val="227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BFA3" w14:textId="77777777" w:rsidR="00D86FEF" w:rsidRPr="002E0141" w:rsidRDefault="00D86FEF" w:rsidP="002602D8">
            <w:pPr>
              <w:numPr>
                <w:ilvl w:val="0"/>
                <w:numId w:val="1"/>
              </w:numPr>
              <w:tabs>
                <w:tab w:val="clear" w:pos="360"/>
                <w:tab w:val="num" w:pos="29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</w:p>
        </w:tc>
        <w:tc>
          <w:tcPr>
            <w:tcW w:w="4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C1CF" w14:textId="3C6A5B66" w:rsidR="00D86FEF" w:rsidRPr="002E0141" w:rsidRDefault="00E91352" w:rsidP="002602D8">
            <w:pPr>
              <w:pStyle w:val="Default"/>
              <w:rPr>
                <w:rFonts w:eastAsia="Times New Roman"/>
                <w:sz w:val="20"/>
                <w:szCs w:val="20"/>
                <w:lang w:eastAsia="zh-CN"/>
              </w:rPr>
            </w:pPr>
            <w:r w:rsidRPr="002E0141">
              <w:rPr>
                <w:sz w:val="20"/>
                <w:szCs w:val="20"/>
              </w:rPr>
              <w:t xml:space="preserve">būti maitinami 230 VAC -15% ÷ +10%, turėti ne mažesnę nei 6 kV įtampos šuolio apsaugą, integruotą saugiklį ir vartojamą galingumą ne daugiau nei 3W; </w:t>
            </w:r>
          </w:p>
        </w:tc>
      </w:tr>
      <w:tr w:rsidR="002E0141" w:rsidRPr="002E0141" w14:paraId="57FC932D" w14:textId="77777777" w:rsidTr="002602D8">
        <w:trPr>
          <w:trHeight w:val="227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CE27" w14:textId="77777777" w:rsidR="00D86FEF" w:rsidRPr="002E0141" w:rsidRDefault="00D86FEF" w:rsidP="002602D8">
            <w:pPr>
              <w:numPr>
                <w:ilvl w:val="0"/>
                <w:numId w:val="1"/>
              </w:numPr>
              <w:tabs>
                <w:tab w:val="clear" w:pos="360"/>
                <w:tab w:val="num" w:pos="29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</w:p>
        </w:tc>
        <w:tc>
          <w:tcPr>
            <w:tcW w:w="4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7619" w14:textId="065704C8" w:rsidR="00D86FEF" w:rsidRPr="002E0141" w:rsidRDefault="00517100" w:rsidP="002602D8">
            <w:pPr>
              <w:pStyle w:val="Default"/>
              <w:rPr>
                <w:rFonts w:eastAsia="Times New Roman"/>
                <w:sz w:val="20"/>
                <w:szCs w:val="20"/>
                <w:lang w:eastAsia="zh-CN"/>
              </w:rPr>
            </w:pPr>
            <w:r w:rsidRPr="002E0141">
              <w:rPr>
                <w:sz w:val="20"/>
                <w:szCs w:val="20"/>
              </w:rPr>
              <w:t xml:space="preserve">užtikrinti autonominį veikimą įprastu režimu esant ryšio sutrikimams arba šviestuvo valdiklio gedimui (veikimas nuo </w:t>
            </w:r>
            <w:proofErr w:type="spellStart"/>
            <w:r w:rsidRPr="002E0141">
              <w:rPr>
                <w:sz w:val="20"/>
                <w:szCs w:val="20"/>
              </w:rPr>
              <w:t>draiverio</w:t>
            </w:r>
            <w:proofErr w:type="spellEnd"/>
            <w:r w:rsidRPr="002E0141">
              <w:rPr>
                <w:sz w:val="20"/>
                <w:szCs w:val="20"/>
              </w:rPr>
              <w:t xml:space="preserve">) 365 dienas per metus, 24 val. per dieną; </w:t>
            </w:r>
          </w:p>
        </w:tc>
      </w:tr>
      <w:tr w:rsidR="002E0141" w:rsidRPr="002E0141" w14:paraId="76B582F2" w14:textId="77777777" w:rsidTr="002602D8">
        <w:trPr>
          <w:trHeight w:val="227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1525" w14:textId="77777777" w:rsidR="00D86FEF" w:rsidRPr="002E0141" w:rsidRDefault="00D86FEF" w:rsidP="002602D8">
            <w:pPr>
              <w:numPr>
                <w:ilvl w:val="0"/>
                <w:numId w:val="1"/>
              </w:numPr>
              <w:tabs>
                <w:tab w:val="clear" w:pos="360"/>
                <w:tab w:val="num" w:pos="29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</w:p>
        </w:tc>
        <w:tc>
          <w:tcPr>
            <w:tcW w:w="4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E038" w14:textId="19F0E0AD" w:rsidR="00D86FEF" w:rsidRPr="002E0141" w:rsidRDefault="00517100" w:rsidP="002602D8">
            <w:pPr>
              <w:pStyle w:val="Default"/>
              <w:rPr>
                <w:rFonts w:eastAsia="Times New Roman"/>
                <w:sz w:val="20"/>
                <w:szCs w:val="20"/>
                <w:lang w:eastAsia="zh-CN"/>
              </w:rPr>
            </w:pPr>
            <w:r w:rsidRPr="002E0141">
              <w:rPr>
                <w:sz w:val="20"/>
                <w:szCs w:val="20"/>
              </w:rPr>
              <w:t xml:space="preserve">turėti apsaugos klasę ne mažiau IP66; </w:t>
            </w:r>
          </w:p>
        </w:tc>
      </w:tr>
      <w:tr w:rsidR="002E0141" w:rsidRPr="002E0141" w14:paraId="4DE690E8" w14:textId="77777777" w:rsidTr="002602D8">
        <w:trPr>
          <w:trHeight w:val="227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7414" w14:textId="77777777" w:rsidR="00D86FEF" w:rsidRPr="002E0141" w:rsidRDefault="00D86FEF" w:rsidP="002602D8">
            <w:pPr>
              <w:numPr>
                <w:ilvl w:val="0"/>
                <w:numId w:val="1"/>
              </w:numPr>
              <w:tabs>
                <w:tab w:val="clear" w:pos="360"/>
                <w:tab w:val="num" w:pos="29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</w:p>
        </w:tc>
        <w:tc>
          <w:tcPr>
            <w:tcW w:w="4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E7F9" w14:textId="60164417" w:rsidR="00D86FEF" w:rsidRPr="002E0141" w:rsidRDefault="00517100" w:rsidP="002602D8">
            <w:pPr>
              <w:pStyle w:val="Default"/>
              <w:rPr>
                <w:rFonts w:eastAsia="Times New Roman"/>
                <w:sz w:val="20"/>
                <w:szCs w:val="20"/>
                <w:lang w:eastAsia="zh-CN"/>
              </w:rPr>
            </w:pPr>
            <w:r w:rsidRPr="002E0141">
              <w:rPr>
                <w:sz w:val="20"/>
                <w:szCs w:val="20"/>
              </w:rPr>
              <w:t>turėti automatinio buvimo vietos nustatymo funkciją (</w:t>
            </w:r>
            <w:proofErr w:type="spellStart"/>
            <w:r w:rsidRPr="002E0141">
              <w:rPr>
                <w:sz w:val="20"/>
                <w:szCs w:val="20"/>
              </w:rPr>
              <w:t>Automatic</w:t>
            </w:r>
            <w:proofErr w:type="spellEnd"/>
            <w:r w:rsidRPr="002E0141">
              <w:rPr>
                <w:sz w:val="20"/>
                <w:szCs w:val="20"/>
              </w:rPr>
              <w:t xml:space="preserve"> </w:t>
            </w:r>
            <w:proofErr w:type="spellStart"/>
            <w:r w:rsidRPr="002E0141">
              <w:rPr>
                <w:sz w:val="20"/>
                <w:szCs w:val="20"/>
              </w:rPr>
              <w:t>Location</w:t>
            </w:r>
            <w:proofErr w:type="spellEnd"/>
            <w:r w:rsidRPr="002E0141">
              <w:rPr>
                <w:sz w:val="20"/>
                <w:szCs w:val="20"/>
              </w:rPr>
              <w:t xml:space="preserve"> </w:t>
            </w:r>
            <w:proofErr w:type="spellStart"/>
            <w:r w:rsidRPr="002E0141">
              <w:rPr>
                <w:sz w:val="20"/>
                <w:szCs w:val="20"/>
              </w:rPr>
              <w:t>Detection</w:t>
            </w:r>
            <w:proofErr w:type="spellEnd"/>
            <w:r w:rsidRPr="002E0141">
              <w:rPr>
                <w:sz w:val="20"/>
                <w:szCs w:val="20"/>
              </w:rPr>
              <w:t xml:space="preserve">) arba kitą koordinačių ir atramos numerio įvedimo funkciją, tačiau bet kuriuo atveju už duomenų įvedimą, atitikimą, aktualumą bei visus iškilusius kaštus atsako tiekėjas </w:t>
            </w:r>
          </w:p>
        </w:tc>
      </w:tr>
      <w:tr w:rsidR="002E0141" w:rsidRPr="002E0141" w14:paraId="56B70453" w14:textId="77777777" w:rsidTr="002602D8">
        <w:trPr>
          <w:trHeight w:val="227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EBF3" w14:textId="77777777" w:rsidR="00D86FEF" w:rsidRPr="002E0141" w:rsidRDefault="00D86FEF" w:rsidP="002602D8">
            <w:pPr>
              <w:numPr>
                <w:ilvl w:val="0"/>
                <w:numId w:val="1"/>
              </w:numPr>
              <w:tabs>
                <w:tab w:val="clear" w:pos="360"/>
                <w:tab w:val="num" w:pos="29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</w:p>
        </w:tc>
        <w:tc>
          <w:tcPr>
            <w:tcW w:w="4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90AF" w14:textId="51548804" w:rsidR="00D86FEF" w:rsidRPr="002E0141" w:rsidRDefault="00517100" w:rsidP="002602D8">
            <w:pPr>
              <w:pStyle w:val="Default"/>
              <w:rPr>
                <w:rFonts w:eastAsia="Times New Roman"/>
                <w:sz w:val="20"/>
                <w:szCs w:val="20"/>
                <w:lang w:eastAsia="zh-CN"/>
              </w:rPr>
            </w:pPr>
            <w:r w:rsidRPr="002E0141">
              <w:rPr>
                <w:sz w:val="20"/>
                <w:szCs w:val="20"/>
              </w:rPr>
              <w:t xml:space="preserve">naudoti ne mažiau nei AES 128 šifravimą; </w:t>
            </w:r>
          </w:p>
        </w:tc>
      </w:tr>
      <w:tr w:rsidR="002E0141" w:rsidRPr="002E0141" w14:paraId="5DD7F402" w14:textId="77777777" w:rsidTr="002602D8">
        <w:trPr>
          <w:trHeight w:val="227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B7E6" w14:textId="77777777" w:rsidR="00D86FEF" w:rsidRPr="002E0141" w:rsidRDefault="00D86FEF" w:rsidP="002602D8">
            <w:pPr>
              <w:numPr>
                <w:ilvl w:val="0"/>
                <w:numId w:val="1"/>
              </w:numPr>
              <w:tabs>
                <w:tab w:val="clear" w:pos="360"/>
                <w:tab w:val="num" w:pos="29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</w:p>
        </w:tc>
        <w:tc>
          <w:tcPr>
            <w:tcW w:w="4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B743" w14:textId="5ED78BFE" w:rsidR="00D86FEF" w:rsidRPr="002E0141" w:rsidRDefault="00517100" w:rsidP="002602D8">
            <w:pPr>
              <w:pStyle w:val="Default"/>
              <w:rPr>
                <w:rFonts w:eastAsia="Times New Roman"/>
                <w:sz w:val="20"/>
                <w:szCs w:val="20"/>
                <w:lang w:eastAsia="zh-CN"/>
              </w:rPr>
            </w:pPr>
            <w:r w:rsidRPr="002E0141">
              <w:rPr>
                <w:sz w:val="20"/>
                <w:szCs w:val="20"/>
              </w:rPr>
              <w:t xml:space="preserve">turėti skaitmeninį įėjimą duomenų gavimui nuo išorinio judesio daviklio (PIR, </w:t>
            </w:r>
            <w:proofErr w:type="spellStart"/>
            <w:r w:rsidRPr="002E0141">
              <w:rPr>
                <w:sz w:val="20"/>
                <w:szCs w:val="20"/>
              </w:rPr>
              <w:t>Radar</w:t>
            </w:r>
            <w:proofErr w:type="spellEnd"/>
            <w:r w:rsidRPr="002E0141">
              <w:rPr>
                <w:sz w:val="20"/>
                <w:szCs w:val="20"/>
              </w:rPr>
              <w:t xml:space="preserve"> ar kt.): </w:t>
            </w:r>
          </w:p>
        </w:tc>
      </w:tr>
      <w:tr w:rsidR="002E0141" w:rsidRPr="002E0141" w14:paraId="59E8628D" w14:textId="77777777" w:rsidTr="002602D8">
        <w:trPr>
          <w:trHeight w:val="227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C865" w14:textId="77777777" w:rsidR="00D86FEF" w:rsidRPr="002E0141" w:rsidRDefault="00D86FEF" w:rsidP="002602D8">
            <w:pPr>
              <w:numPr>
                <w:ilvl w:val="0"/>
                <w:numId w:val="1"/>
              </w:numPr>
              <w:tabs>
                <w:tab w:val="clear" w:pos="360"/>
                <w:tab w:val="num" w:pos="29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</w:p>
        </w:tc>
        <w:tc>
          <w:tcPr>
            <w:tcW w:w="4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921A" w14:textId="2C406B7D" w:rsidR="00D86FEF" w:rsidRPr="002E0141" w:rsidRDefault="00517100" w:rsidP="002602D8">
            <w:pPr>
              <w:pStyle w:val="Default"/>
              <w:rPr>
                <w:rFonts w:eastAsia="Times New Roman"/>
                <w:sz w:val="20"/>
                <w:szCs w:val="20"/>
                <w:lang w:eastAsia="lt-LT"/>
              </w:rPr>
            </w:pPr>
            <w:r w:rsidRPr="002E0141">
              <w:rPr>
                <w:sz w:val="20"/>
                <w:szCs w:val="20"/>
              </w:rPr>
              <w:t xml:space="preserve">turėti šviestuvo polinkio nustatymo funkciją, generuojančią aliarminį pranešimą apie nulenktą/numuštą atramą. </w:t>
            </w:r>
          </w:p>
        </w:tc>
      </w:tr>
      <w:tr w:rsidR="002E0141" w:rsidRPr="002E0141" w14:paraId="3054F388" w14:textId="77777777" w:rsidTr="002602D8">
        <w:trPr>
          <w:trHeight w:val="227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A060" w14:textId="77777777" w:rsidR="00D86FEF" w:rsidRPr="002E0141" w:rsidRDefault="00D86FEF" w:rsidP="002602D8">
            <w:pPr>
              <w:numPr>
                <w:ilvl w:val="0"/>
                <w:numId w:val="1"/>
              </w:numPr>
              <w:tabs>
                <w:tab w:val="clear" w:pos="360"/>
                <w:tab w:val="num" w:pos="29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</w:p>
        </w:tc>
        <w:tc>
          <w:tcPr>
            <w:tcW w:w="4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64F5" w14:textId="347EC9BC" w:rsidR="00D86FEF" w:rsidRPr="002E0141" w:rsidRDefault="002E0141" w:rsidP="002602D8">
            <w:pPr>
              <w:pStyle w:val="Default"/>
              <w:rPr>
                <w:rFonts w:eastAsia="Times New Roman"/>
                <w:sz w:val="20"/>
                <w:szCs w:val="20"/>
                <w:lang w:eastAsia="zh-CN"/>
              </w:rPr>
            </w:pPr>
            <w:r w:rsidRPr="002E0141">
              <w:rPr>
                <w:sz w:val="20"/>
                <w:szCs w:val="20"/>
              </w:rPr>
              <w:t>k</w:t>
            </w:r>
            <w:r w:rsidR="00AC0D80" w:rsidRPr="002E0141">
              <w:rPr>
                <w:sz w:val="20"/>
                <w:szCs w:val="20"/>
              </w:rPr>
              <w:t xml:space="preserve">orpuso spalva juoda (RAL 9004) </w:t>
            </w:r>
          </w:p>
        </w:tc>
      </w:tr>
    </w:tbl>
    <w:p w14:paraId="56304226" w14:textId="77777777" w:rsidR="00DB7E0B" w:rsidRPr="002E0141" w:rsidRDefault="00DB7E0B" w:rsidP="00DB7E0B">
      <w:pPr>
        <w:pStyle w:val="Default"/>
        <w:rPr>
          <w:color w:val="auto"/>
          <w:sz w:val="20"/>
          <w:szCs w:val="20"/>
        </w:rPr>
      </w:pPr>
    </w:p>
    <w:p w14:paraId="7A860C55" w14:textId="0341DB50" w:rsidR="00DB7E0B" w:rsidRPr="002E0141" w:rsidRDefault="00DB7E0B" w:rsidP="00DB7E0B">
      <w:pPr>
        <w:pStyle w:val="Default"/>
        <w:rPr>
          <w:b/>
          <w:sz w:val="20"/>
          <w:szCs w:val="20"/>
        </w:rPr>
      </w:pPr>
      <w:r w:rsidRPr="002E0141">
        <w:rPr>
          <w:b/>
          <w:bCs/>
          <w:sz w:val="20"/>
          <w:szCs w:val="20"/>
        </w:rPr>
        <w:t xml:space="preserve">Šviestuvo individualaus valdymo ZHAGA valdikliai privalo: </w:t>
      </w:r>
    </w:p>
    <w:tbl>
      <w:tblPr>
        <w:tblW w:w="49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10204"/>
      </w:tblGrid>
      <w:tr w:rsidR="002E0141" w:rsidRPr="002E0141" w14:paraId="2B4BACCE" w14:textId="77777777" w:rsidTr="002602D8">
        <w:trPr>
          <w:trHeight w:val="227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65EA" w14:textId="77777777" w:rsidR="00DB7E0B" w:rsidRPr="002E0141" w:rsidRDefault="00DB7E0B" w:rsidP="002602D8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center" w:pos="4153"/>
                <w:tab w:val="right" w:pos="8306"/>
              </w:tabs>
              <w:suppressAutoHyphens/>
              <w:spacing w:after="0" w:line="240" w:lineRule="auto"/>
              <w:ind w:left="0" w:firstLine="0"/>
              <w:rPr>
                <w:rFonts w:ascii="Times New Roman" w:eastAsia="Batang" w:hAnsi="Times New Roman" w:cs="Times New Roman"/>
                <w:sz w:val="20"/>
                <w:szCs w:val="20"/>
                <w:lang w:val="lt-LT" w:eastAsia="zh-CN"/>
              </w:rPr>
            </w:pPr>
          </w:p>
        </w:tc>
        <w:tc>
          <w:tcPr>
            <w:tcW w:w="4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AA29" w14:textId="2B068A8C" w:rsidR="00DB7E0B" w:rsidRPr="002E0141" w:rsidRDefault="00DB7E0B" w:rsidP="002602D8">
            <w:pPr>
              <w:pStyle w:val="Default"/>
              <w:rPr>
                <w:rFonts w:eastAsia="Times New Roman"/>
                <w:sz w:val="20"/>
                <w:szCs w:val="20"/>
                <w:lang w:eastAsia="zh-CN"/>
              </w:rPr>
            </w:pPr>
            <w:r w:rsidRPr="002E0141">
              <w:rPr>
                <w:sz w:val="20"/>
                <w:szCs w:val="20"/>
              </w:rPr>
              <w:t>būti montuojami šviestuvo išorėje per iš anksto numatytą, standartizuotą 4 kontaktų „</w:t>
            </w:r>
            <w:proofErr w:type="spellStart"/>
            <w:r w:rsidRPr="002E0141">
              <w:rPr>
                <w:sz w:val="20"/>
                <w:szCs w:val="20"/>
              </w:rPr>
              <w:t>plug&amp;play</w:t>
            </w:r>
            <w:proofErr w:type="spellEnd"/>
            <w:r w:rsidRPr="002E0141">
              <w:rPr>
                <w:sz w:val="20"/>
                <w:szCs w:val="20"/>
              </w:rPr>
              <w:t xml:space="preserve">“ lizdą „ZHAGA“ (ZHAGA 4-PIN </w:t>
            </w:r>
            <w:proofErr w:type="spellStart"/>
            <w:r w:rsidRPr="002E0141">
              <w:rPr>
                <w:sz w:val="20"/>
                <w:szCs w:val="20"/>
              </w:rPr>
              <w:t>standart</w:t>
            </w:r>
            <w:proofErr w:type="spellEnd"/>
            <w:r w:rsidRPr="002E0141">
              <w:rPr>
                <w:sz w:val="20"/>
                <w:szCs w:val="20"/>
              </w:rPr>
              <w:t xml:space="preserve"> </w:t>
            </w:r>
            <w:proofErr w:type="spellStart"/>
            <w:r w:rsidRPr="002E0141">
              <w:rPr>
                <w:sz w:val="20"/>
                <w:szCs w:val="20"/>
              </w:rPr>
              <w:t>connector</w:t>
            </w:r>
            <w:proofErr w:type="spellEnd"/>
            <w:r w:rsidRPr="002E0141">
              <w:rPr>
                <w:sz w:val="20"/>
                <w:szCs w:val="20"/>
              </w:rPr>
              <w:t xml:space="preserve">) šviestuvo korpuse; </w:t>
            </w:r>
          </w:p>
        </w:tc>
      </w:tr>
      <w:tr w:rsidR="002E0141" w:rsidRPr="002E0141" w14:paraId="1AE38957" w14:textId="77777777" w:rsidTr="002602D8">
        <w:trPr>
          <w:trHeight w:val="227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205F" w14:textId="77777777" w:rsidR="00DB7E0B" w:rsidRPr="002E0141" w:rsidRDefault="00DB7E0B" w:rsidP="002602D8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center" w:pos="4153"/>
                <w:tab w:val="right" w:pos="8306"/>
              </w:tabs>
              <w:suppressAutoHyphens/>
              <w:spacing w:after="0" w:line="240" w:lineRule="auto"/>
              <w:ind w:left="0" w:firstLine="0"/>
              <w:rPr>
                <w:rFonts w:ascii="Times New Roman" w:eastAsia="Batang" w:hAnsi="Times New Roman" w:cs="Times New Roman"/>
                <w:sz w:val="20"/>
                <w:szCs w:val="20"/>
                <w:lang w:val="lt-LT" w:eastAsia="zh-CN"/>
              </w:rPr>
            </w:pPr>
          </w:p>
        </w:tc>
        <w:tc>
          <w:tcPr>
            <w:tcW w:w="4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A592" w14:textId="42B2EDB0" w:rsidR="00DB7E0B" w:rsidRPr="002E0141" w:rsidRDefault="00DF25FF" w:rsidP="002602D8">
            <w:pPr>
              <w:pStyle w:val="Default"/>
              <w:rPr>
                <w:rFonts w:eastAsia="Times New Roman"/>
                <w:sz w:val="20"/>
                <w:szCs w:val="20"/>
                <w:lang w:eastAsia="zh-CN"/>
              </w:rPr>
            </w:pPr>
            <w:r w:rsidRPr="002E0141">
              <w:rPr>
                <w:sz w:val="20"/>
                <w:szCs w:val="20"/>
              </w:rPr>
              <w:t xml:space="preserve">komunikuoti tiesiogiai su serveriu arba su spintos valdikliu tarptautinius CELENEC standartus atitinkančio bevielio ryšio technologijų pagalba. Galimi ryšio kaštai turi būti įskaičiuoti į pasiūlymo kainą. Pasirinkdamas tam tikrą ryšio technologiją, tiekėjas privalo įvertinti šio ryšio stabilumą, patikimumą, saugumą, prieinamumą bei teritorijos padengimą Vilniaus apskrityje; </w:t>
            </w:r>
          </w:p>
        </w:tc>
      </w:tr>
      <w:tr w:rsidR="002E0141" w:rsidRPr="002E0141" w14:paraId="00EDF186" w14:textId="77777777" w:rsidTr="002602D8">
        <w:trPr>
          <w:trHeight w:val="227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8408" w14:textId="77777777" w:rsidR="00DB7E0B" w:rsidRPr="002E0141" w:rsidRDefault="00DB7E0B" w:rsidP="002602D8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</w:p>
        </w:tc>
        <w:tc>
          <w:tcPr>
            <w:tcW w:w="4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EDF1" w14:textId="132F7F80" w:rsidR="00DB7E0B" w:rsidRPr="002E0141" w:rsidRDefault="00DF25FF" w:rsidP="002602D8">
            <w:pPr>
              <w:pStyle w:val="Default"/>
              <w:rPr>
                <w:rFonts w:eastAsia="Times New Roman"/>
                <w:sz w:val="20"/>
                <w:szCs w:val="20"/>
                <w:lang w:eastAsia="zh-CN"/>
              </w:rPr>
            </w:pPr>
            <w:r w:rsidRPr="002E0141">
              <w:rPr>
                <w:sz w:val="20"/>
                <w:szCs w:val="20"/>
              </w:rPr>
              <w:t xml:space="preserve">veikti pagal nustatytus pritemdymo profilius priklausomai nuo laiko ir apšvietos lygio (lx); </w:t>
            </w:r>
          </w:p>
        </w:tc>
      </w:tr>
      <w:tr w:rsidR="002E0141" w:rsidRPr="002E0141" w14:paraId="3B3CA57A" w14:textId="77777777" w:rsidTr="002602D8">
        <w:trPr>
          <w:trHeight w:val="227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5348" w14:textId="77777777" w:rsidR="00DB7E0B" w:rsidRPr="002E0141" w:rsidRDefault="00DB7E0B" w:rsidP="002602D8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</w:p>
        </w:tc>
        <w:tc>
          <w:tcPr>
            <w:tcW w:w="4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D471" w14:textId="64F87824" w:rsidR="00DB7E0B" w:rsidRPr="002E0141" w:rsidRDefault="00DF25FF" w:rsidP="002602D8">
            <w:pPr>
              <w:pStyle w:val="Default"/>
              <w:rPr>
                <w:rFonts w:eastAsia="Times New Roman"/>
                <w:sz w:val="20"/>
                <w:szCs w:val="20"/>
                <w:lang w:eastAsia="zh-CN"/>
              </w:rPr>
            </w:pPr>
            <w:r w:rsidRPr="002E0141">
              <w:rPr>
                <w:sz w:val="20"/>
                <w:szCs w:val="20"/>
              </w:rPr>
              <w:t xml:space="preserve">perduoti susietų jutiklių duomenis tiesiogiai kitiems šviestuvų valdikliams; </w:t>
            </w:r>
          </w:p>
        </w:tc>
      </w:tr>
      <w:tr w:rsidR="002E0141" w:rsidRPr="002E0141" w14:paraId="478E9166" w14:textId="77777777" w:rsidTr="002602D8">
        <w:trPr>
          <w:trHeight w:val="227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1C87" w14:textId="77777777" w:rsidR="00DB7E0B" w:rsidRPr="002E0141" w:rsidRDefault="00DB7E0B" w:rsidP="002602D8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</w:p>
        </w:tc>
        <w:tc>
          <w:tcPr>
            <w:tcW w:w="4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2D66" w14:textId="668736B3" w:rsidR="00DB7E0B" w:rsidRPr="002E0141" w:rsidRDefault="00DF25FF" w:rsidP="002602D8">
            <w:pPr>
              <w:pStyle w:val="Default"/>
              <w:rPr>
                <w:rFonts w:eastAsia="Times New Roman"/>
                <w:sz w:val="20"/>
                <w:szCs w:val="20"/>
                <w:lang w:eastAsia="zh-CN"/>
              </w:rPr>
            </w:pPr>
            <w:r w:rsidRPr="002E0141">
              <w:rPr>
                <w:sz w:val="20"/>
                <w:szCs w:val="20"/>
              </w:rPr>
              <w:t xml:space="preserve">palaikyti DALI/DALI 2 valdymo standartus, kad atitiktų ir būtų pilnai suderinami su dauguma LED </w:t>
            </w:r>
            <w:proofErr w:type="spellStart"/>
            <w:r w:rsidRPr="002E0141">
              <w:rPr>
                <w:sz w:val="20"/>
                <w:szCs w:val="20"/>
              </w:rPr>
              <w:t>draiverių</w:t>
            </w:r>
            <w:proofErr w:type="spellEnd"/>
            <w:r w:rsidRPr="002E0141">
              <w:rPr>
                <w:sz w:val="20"/>
                <w:szCs w:val="20"/>
              </w:rPr>
              <w:t xml:space="preserve"> ir elektroninių balastinių įtaisų rinkoje; </w:t>
            </w:r>
          </w:p>
        </w:tc>
      </w:tr>
      <w:tr w:rsidR="002E0141" w:rsidRPr="002E0141" w14:paraId="759A4D0C" w14:textId="77777777" w:rsidTr="002602D8">
        <w:trPr>
          <w:trHeight w:val="227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CCE6" w14:textId="77777777" w:rsidR="00DB7E0B" w:rsidRPr="002E0141" w:rsidRDefault="00DB7E0B" w:rsidP="002602D8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</w:p>
        </w:tc>
        <w:tc>
          <w:tcPr>
            <w:tcW w:w="4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5B09" w14:textId="2441E96B" w:rsidR="00DB7E0B" w:rsidRPr="002E0141" w:rsidRDefault="00DF25FF" w:rsidP="002602D8">
            <w:pPr>
              <w:pStyle w:val="Default"/>
              <w:rPr>
                <w:rFonts w:eastAsia="Times New Roman"/>
                <w:sz w:val="20"/>
                <w:szCs w:val="20"/>
                <w:lang w:eastAsia="zh-CN"/>
              </w:rPr>
            </w:pPr>
            <w:r w:rsidRPr="002E0141">
              <w:rPr>
                <w:sz w:val="20"/>
                <w:szCs w:val="20"/>
              </w:rPr>
              <w:t xml:space="preserve">pritemdyti šviestuvą diapazone nuo 0 iki 100% su ≤ 10 % žingsniu; </w:t>
            </w:r>
          </w:p>
        </w:tc>
      </w:tr>
      <w:tr w:rsidR="002E0141" w:rsidRPr="002E0141" w14:paraId="547023C0" w14:textId="77777777" w:rsidTr="002602D8">
        <w:trPr>
          <w:trHeight w:val="227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AAF6" w14:textId="77777777" w:rsidR="00DB7E0B" w:rsidRPr="002E0141" w:rsidRDefault="00DB7E0B" w:rsidP="002602D8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</w:p>
        </w:tc>
        <w:tc>
          <w:tcPr>
            <w:tcW w:w="4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84E5" w14:textId="63F6EC67" w:rsidR="00DB7E0B" w:rsidRPr="002E0141" w:rsidRDefault="00DF25FF" w:rsidP="002602D8">
            <w:pPr>
              <w:pStyle w:val="Default"/>
              <w:rPr>
                <w:sz w:val="20"/>
                <w:szCs w:val="20"/>
              </w:rPr>
            </w:pPr>
            <w:r w:rsidRPr="002E0141">
              <w:rPr>
                <w:sz w:val="20"/>
                <w:szCs w:val="20"/>
              </w:rPr>
              <w:t xml:space="preserve">matuoti ir tikrinti bei saugoti ne rečiau nei kas 1 val. LED šviestuvo parametrus, tokius kaip: srovė, įtampa, galia, sunaudota elektros energija, darbo laikas; </w:t>
            </w:r>
          </w:p>
        </w:tc>
      </w:tr>
      <w:tr w:rsidR="002E0141" w:rsidRPr="002E0141" w14:paraId="57FBD388" w14:textId="77777777" w:rsidTr="002602D8">
        <w:trPr>
          <w:trHeight w:val="227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5F6E" w14:textId="77777777" w:rsidR="00DB7E0B" w:rsidRPr="002E0141" w:rsidRDefault="00DB7E0B" w:rsidP="002602D8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</w:p>
        </w:tc>
        <w:tc>
          <w:tcPr>
            <w:tcW w:w="4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E144" w14:textId="59FA40F2" w:rsidR="00DB7E0B" w:rsidRPr="002E0141" w:rsidRDefault="00DF25FF" w:rsidP="002602D8">
            <w:pPr>
              <w:pStyle w:val="Default"/>
              <w:rPr>
                <w:rFonts w:eastAsia="Times New Roman"/>
                <w:sz w:val="20"/>
                <w:szCs w:val="20"/>
                <w:lang w:eastAsia="zh-CN"/>
              </w:rPr>
            </w:pPr>
            <w:r w:rsidRPr="002E0141">
              <w:rPr>
                <w:sz w:val="20"/>
                <w:szCs w:val="20"/>
              </w:rPr>
              <w:t xml:space="preserve">tinkamai veikti realiose sąlygose, esant aplinkos temperatūrai -30°C +35°C, esant santykinei drėgmei iki 95%. </w:t>
            </w:r>
          </w:p>
        </w:tc>
      </w:tr>
      <w:tr w:rsidR="002E0141" w:rsidRPr="002E0141" w14:paraId="4D3FD9D5" w14:textId="77777777" w:rsidTr="002602D8">
        <w:trPr>
          <w:trHeight w:val="227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DC79" w14:textId="77777777" w:rsidR="00DB7E0B" w:rsidRPr="002E0141" w:rsidRDefault="00DB7E0B" w:rsidP="002602D8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</w:p>
        </w:tc>
        <w:tc>
          <w:tcPr>
            <w:tcW w:w="4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0684" w14:textId="0CAF0D3C" w:rsidR="00DB7E0B" w:rsidRPr="002E0141" w:rsidRDefault="00DF25FF" w:rsidP="002602D8">
            <w:pPr>
              <w:pStyle w:val="Default"/>
              <w:rPr>
                <w:rFonts w:eastAsia="Times New Roman"/>
                <w:sz w:val="20"/>
                <w:szCs w:val="20"/>
                <w:lang w:eastAsia="zh-CN"/>
              </w:rPr>
            </w:pPr>
            <w:r w:rsidRPr="002E0141">
              <w:rPr>
                <w:sz w:val="20"/>
                <w:szCs w:val="20"/>
              </w:rPr>
              <w:t xml:space="preserve">būti maitinami 25 VDC, turėti ne mažesnę nei 6 kV įtampos šuolio apsaugą, integruotą saugiklį ir vartojamą galingumą ne daugiau nei 3W; </w:t>
            </w:r>
          </w:p>
        </w:tc>
      </w:tr>
      <w:tr w:rsidR="002E0141" w:rsidRPr="002E0141" w14:paraId="3505DDBD" w14:textId="77777777" w:rsidTr="002602D8">
        <w:trPr>
          <w:trHeight w:val="227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9F17" w14:textId="77777777" w:rsidR="00DB7E0B" w:rsidRPr="002E0141" w:rsidRDefault="00DB7E0B" w:rsidP="002602D8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</w:p>
        </w:tc>
        <w:tc>
          <w:tcPr>
            <w:tcW w:w="4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FF9C" w14:textId="01545705" w:rsidR="00DB7E0B" w:rsidRPr="002E0141" w:rsidRDefault="001E4D53" w:rsidP="002602D8">
            <w:pPr>
              <w:pStyle w:val="Default"/>
              <w:rPr>
                <w:rFonts w:eastAsia="Times New Roman"/>
                <w:sz w:val="20"/>
                <w:szCs w:val="20"/>
                <w:lang w:eastAsia="zh-CN"/>
              </w:rPr>
            </w:pPr>
            <w:r w:rsidRPr="002E0141">
              <w:rPr>
                <w:sz w:val="20"/>
                <w:szCs w:val="20"/>
              </w:rPr>
              <w:t xml:space="preserve">užtikrinti autonominį šviestuvo veikimą įprastu režimu esant ryšio sutrikimams arba šviestuvo individualaus valdiklio gedimui 365 dienas per metus, 24 val. per dieną; </w:t>
            </w:r>
          </w:p>
        </w:tc>
      </w:tr>
      <w:tr w:rsidR="002E0141" w:rsidRPr="002E0141" w14:paraId="3536D7C5" w14:textId="77777777" w:rsidTr="002602D8">
        <w:trPr>
          <w:trHeight w:val="227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5BE0" w14:textId="77777777" w:rsidR="00DB7E0B" w:rsidRPr="002E0141" w:rsidRDefault="00DB7E0B" w:rsidP="002602D8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</w:p>
        </w:tc>
        <w:tc>
          <w:tcPr>
            <w:tcW w:w="4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6D66" w14:textId="1AFDC0E8" w:rsidR="00DB7E0B" w:rsidRPr="002E0141" w:rsidRDefault="001E4D53" w:rsidP="002602D8">
            <w:pPr>
              <w:pStyle w:val="Default"/>
              <w:rPr>
                <w:rFonts w:eastAsia="Times New Roman"/>
                <w:sz w:val="20"/>
                <w:szCs w:val="20"/>
                <w:lang w:eastAsia="zh-CN"/>
              </w:rPr>
            </w:pPr>
            <w:r w:rsidRPr="002E0141">
              <w:rPr>
                <w:sz w:val="20"/>
                <w:szCs w:val="20"/>
              </w:rPr>
              <w:t xml:space="preserve">turėti apsaugos klasę ne mažiau IP66; </w:t>
            </w:r>
          </w:p>
        </w:tc>
      </w:tr>
      <w:tr w:rsidR="002E0141" w:rsidRPr="002E0141" w14:paraId="07AD5A81" w14:textId="77777777" w:rsidTr="002602D8">
        <w:trPr>
          <w:trHeight w:val="227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61C2" w14:textId="77777777" w:rsidR="00DB7E0B" w:rsidRPr="002E0141" w:rsidRDefault="00DB7E0B" w:rsidP="002602D8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</w:p>
        </w:tc>
        <w:tc>
          <w:tcPr>
            <w:tcW w:w="4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0400" w14:textId="19D2BC7B" w:rsidR="00DB7E0B" w:rsidRPr="002E0141" w:rsidRDefault="001E4D53" w:rsidP="002602D8">
            <w:pPr>
              <w:pStyle w:val="Default"/>
              <w:rPr>
                <w:rFonts w:eastAsia="Times New Roman"/>
                <w:sz w:val="20"/>
                <w:szCs w:val="20"/>
                <w:lang w:eastAsia="zh-CN"/>
              </w:rPr>
            </w:pPr>
            <w:r w:rsidRPr="002E0141">
              <w:rPr>
                <w:sz w:val="20"/>
                <w:szCs w:val="20"/>
              </w:rPr>
              <w:t>turėti automatinio buvimo vietos nustatymo funkciją (</w:t>
            </w:r>
            <w:proofErr w:type="spellStart"/>
            <w:r w:rsidRPr="002E0141">
              <w:rPr>
                <w:sz w:val="20"/>
                <w:szCs w:val="20"/>
              </w:rPr>
              <w:t>Automatic</w:t>
            </w:r>
            <w:proofErr w:type="spellEnd"/>
            <w:r w:rsidRPr="002E0141">
              <w:rPr>
                <w:sz w:val="20"/>
                <w:szCs w:val="20"/>
              </w:rPr>
              <w:t xml:space="preserve"> </w:t>
            </w:r>
            <w:proofErr w:type="spellStart"/>
            <w:r w:rsidRPr="002E0141">
              <w:rPr>
                <w:sz w:val="20"/>
                <w:szCs w:val="20"/>
              </w:rPr>
              <w:t>Location</w:t>
            </w:r>
            <w:proofErr w:type="spellEnd"/>
            <w:r w:rsidRPr="002E0141">
              <w:rPr>
                <w:sz w:val="20"/>
                <w:szCs w:val="20"/>
              </w:rPr>
              <w:t xml:space="preserve"> </w:t>
            </w:r>
            <w:proofErr w:type="spellStart"/>
            <w:r w:rsidRPr="002E0141">
              <w:rPr>
                <w:sz w:val="20"/>
                <w:szCs w:val="20"/>
              </w:rPr>
              <w:t>Detection</w:t>
            </w:r>
            <w:proofErr w:type="spellEnd"/>
            <w:r w:rsidRPr="002E0141">
              <w:rPr>
                <w:sz w:val="20"/>
                <w:szCs w:val="20"/>
              </w:rPr>
              <w:t xml:space="preserve">) arba kitą koordinačių ir atramos numerio įvedimo funkciją, tačiau bet kuriuo atveju už duomenų įvedimą, atitikimą, aktualumą bei visus iškilusius kaštus atsako tiekėjas </w:t>
            </w:r>
          </w:p>
        </w:tc>
      </w:tr>
      <w:tr w:rsidR="002E0141" w:rsidRPr="002E0141" w14:paraId="4AF5AB11" w14:textId="77777777" w:rsidTr="002602D8">
        <w:trPr>
          <w:trHeight w:val="227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CCEC" w14:textId="77777777" w:rsidR="00DB7E0B" w:rsidRPr="002E0141" w:rsidRDefault="00DB7E0B" w:rsidP="002602D8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</w:p>
        </w:tc>
        <w:tc>
          <w:tcPr>
            <w:tcW w:w="4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4D34" w14:textId="695C16F2" w:rsidR="00DB7E0B" w:rsidRPr="002E0141" w:rsidRDefault="001E4D53" w:rsidP="002602D8">
            <w:pPr>
              <w:pStyle w:val="Default"/>
              <w:rPr>
                <w:rFonts w:eastAsia="Times New Roman"/>
                <w:sz w:val="20"/>
                <w:szCs w:val="20"/>
                <w:lang w:eastAsia="zh-CN"/>
              </w:rPr>
            </w:pPr>
            <w:r w:rsidRPr="002E0141">
              <w:rPr>
                <w:sz w:val="20"/>
                <w:szCs w:val="20"/>
              </w:rPr>
              <w:t>naudoti ne mažiau nei AES 128 šifravimą;</w:t>
            </w:r>
          </w:p>
        </w:tc>
      </w:tr>
      <w:tr w:rsidR="002E0141" w:rsidRPr="002E0141" w14:paraId="40642C58" w14:textId="77777777" w:rsidTr="002602D8">
        <w:trPr>
          <w:trHeight w:val="227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8996" w14:textId="77777777" w:rsidR="00DB7E0B" w:rsidRPr="002E0141" w:rsidRDefault="00DB7E0B" w:rsidP="002602D8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</w:p>
        </w:tc>
        <w:tc>
          <w:tcPr>
            <w:tcW w:w="4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143D" w14:textId="51791D79" w:rsidR="00DB7E0B" w:rsidRPr="002E0141" w:rsidRDefault="001E4D53" w:rsidP="002602D8">
            <w:pPr>
              <w:pStyle w:val="Default"/>
              <w:rPr>
                <w:rFonts w:eastAsia="Times New Roman"/>
                <w:sz w:val="20"/>
                <w:szCs w:val="20"/>
                <w:lang w:eastAsia="zh-CN"/>
              </w:rPr>
            </w:pPr>
            <w:r w:rsidRPr="002E0141">
              <w:rPr>
                <w:sz w:val="20"/>
                <w:szCs w:val="20"/>
              </w:rPr>
              <w:t xml:space="preserve">turėti skaitmeninį įėjimą duomenų gavimui nuo išorinio judesio daviklio (PIR, </w:t>
            </w:r>
            <w:proofErr w:type="spellStart"/>
            <w:r w:rsidRPr="002E0141">
              <w:rPr>
                <w:sz w:val="20"/>
                <w:szCs w:val="20"/>
              </w:rPr>
              <w:t>Radar</w:t>
            </w:r>
            <w:proofErr w:type="spellEnd"/>
            <w:r w:rsidRPr="002E0141">
              <w:rPr>
                <w:sz w:val="20"/>
                <w:szCs w:val="20"/>
              </w:rPr>
              <w:t xml:space="preserve"> ar kt.): </w:t>
            </w:r>
          </w:p>
        </w:tc>
      </w:tr>
      <w:tr w:rsidR="002E0141" w:rsidRPr="002E0141" w14:paraId="188BFB01" w14:textId="77777777" w:rsidTr="002602D8">
        <w:trPr>
          <w:trHeight w:val="227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110C" w14:textId="77777777" w:rsidR="00DB7E0B" w:rsidRPr="002E0141" w:rsidRDefault="00DB7E0B" w:rsidP="002602D8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</w:p>
        </w:tc>
        <w:tc>
          <w:tcPr>
            <w:tcW w:w="4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D479" w14:textId="6921ABC3" w:rsidR="00DB7E0B" w:rsidRPr="002E0141" w:rsidRDefault="002E0141" w:rsidP="002602D8">
            <w:pPr>
              <w:pStyle w:val="Default"/>
              <w:rPr>
                <w:rFonts w:eastAsia="Times New Roman"/>
                <w:sz w:val="20"/>
                <w:szCs w:val="20"/>
                <w:lang w:eastAsia="lt-LT"/>
              </w:rPr>
            </w:pPr>
            <w:r w:rsidRPr="002E0141">
              <w:rPr>
                <w:sz w:val="20"/>
                <w:szCs w:val="20"/>
              </w:rPr>
              <w:t>k</w:t>
            </w:r>
            <w:r w:rsidR="001E4D53" w:rsidRPr="002E0141">
              <w:rPr>
                <w:sz w:val="20"/>
                <w:szCs w:val="20"/>
              </w:rPr>
              <w:t xml:space="preserve">orpuso spalva juoda (RAL 9004) </w:t>
            </w:r>
          </w:p>
        </w:tc>
      </w:tr>
    </w:tbl>
    <w:p w14:paraId="2349C38D" w14:textId="77777777" w:rsidR="00DB7E0B" w:rsidRPr="002E0141" w:rsidRDefault="00DB7E0B" w:rsidP="002E0141">
      <w:pPr>
        <w:rPr>
          <w:rFonts w:ascii="Times New Roman" w:hAnsi="Times New Roman" w:cs="Times New Roman"/>
          <w:lang w:val="lt-LT"/>
        </w:rPr>
      </w:pPr>
    </w:p>
    <w:sectPr w:rsidR="00DB7E0B" w:rsidRPr="002E0141" w:rsidSect="002E0141">
      <w:pgSz w:w="12240" w:h="15840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2096B"/>
    <w:multiLevelType w:val="hybridMultilevel"/>
    <w:tmpl w:val="FC48DA4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1915797A"/>
    <w:multiLevelType w:val="hybridMultilevel"/>
    <w:tmpl w:val="FC48DA4E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3F3219CB"/>
    <w:multiLevelType w:val="hybridMultilevel"/>
    <w:tmpl w:val="118C7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6181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800676">
    <w:abstractNumId w:val="2"/>
  </w:num>
  <w:num w:numId="3" w16cid:durableId="722410929">
    <w:abstractNumId w:val="1"/>
  </w:num>
  <w:num w:numId="4" w16cid:durableId="6010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E1"/>
    <w:rsid w:val="000D0933"/>
    <w:rsid w:val="001B6866"/>
    <w:rsid w:val="001C061B"/>
    <w:rsid w:val="001E129E"/>
    <w:rsid w:val="001E4D53"/>
    <w:rsid w:val="001E7AD3"/>
    <w:rsid w:val="002602D8"/>
    <w:rsid w:val="002E0141"/>
    <w:rsid w:val="004661EC"/>
    <w:rsid w:val="004818E4"/>
    <w:rsid w:val="004846D2"/>
    <w:rsid w:val="00517100"/>
    <w:rsid w:val="005220E9"/>
    <w:rsid w:val="005411EB"/>
    <w:rsid w:val="00551F8B"/>
    <w:rsid w:val="00561DDB"/>
    <w:rsid w:val="005E7211"/>
    <w:rsid w:val="006E78FB"/>
    <w:rsid w:val="00724046"/>
    <w:rsid w:val="007B6B31"/>
    <w:rsid w:val="00831A0E"/>
    <w:rsid w:val="00833509"/>
    <w:rsid w:val="008A14EB"/>
    <w:rsid w:val="008B5BE1"/>
    <w:rsid w:val="00915F5F"/>
    <w:rsid w:val="00924954"/>
    <w:rsid w:val="0093324B"/>
    <w:rsid w:val="00936E6F"/>
    <w:rsid w:val="009B580C"/>
    <w:rsid w:val="009F4701"/>
    <w:rsid w:val="00A152D6"/>
    <w:rsid w:val="00A15D3B"/>
    <w:rsid w:val="00AB550E"/>
    <w:rsid w:val="00AC0D80"/>
    <w:rsid w:val="00B10BDC"/>
    <w:rsid w:val="00BE7DF3"/>
    <w:rsid w:val="00BF6820"/>
    <w:rsid w:val="00C16C46"/>
    <w:rsid w:val="00C20E1B"/>
    <w:rsid w:val="00C43DDE"/>
    <w:rsid w:val="00CF4441"/>
    <w:rsid w:val="00D601DD"/>
    <w:rsid w:val="00D67D75"/>
    <w:rsid w:val="00D73AA8"/>
    <w:rsid w:val="00D86FEF"/>
    <w:rsid w:val="00DB7E0B"/>
    <w:rsid w:val="00DF25FF"/>
    <w:rsid w:val="00E561DC"/>
    <w:rsid w:val="00E91352"/>
    <w:rsid w:val="00EB3D02"/>
    <w:rsid w:val="00F71692"/>
    <w:rsid w:val="00F9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C7E9"/>
  <w15:chartTrackingRefBased/>
  <w15:docId w15:val="{DF7D7FA2-1924-45CF-86BC-D3E6020A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B7E0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831A0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31A0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31A0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31A0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31A0E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551F8B"/>
    <w:pPr>
      <w:ind w:left="720"/>
      <w:contextualSpacing/>
    </w:pPr>
  </w:style>
  <w:style w:type="paragraph" w:customStyle="1" w:styleId="Default">
    <w:name w:val="Default"/>
    <w:rsid w:val="00D86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C84D92E1DCBC4408D7B27F5F8804BC2" ma:contentTypeVersion="15" ma:contentTypeDescription="Kurkite naują dokumentą." ma:contentTypeScope="" ma:versionID="3cb21c28053ad3b3e638ba0c9e710d1b">
  <xsd:schema xmlns:xsd="http://www.w3.org/2001/XMLSchema" xmlns:xs="http://www.w3.org/2001/XMLSchema" xmlns:p="http://schemas.microsoft.com/office/2006/metadata/properties" xmlns:ns2="8b492cc9-432a-403e-a2ec-bf361c12b05e" xmlns:ns3="eade1b36-d7af-4f59-be45-322f76da4264" targetNamespace="http://schemas.microsoft.com/office/2006/metadata/properties" ma:root="true" ma:fieldsID="68d614f9e3a80e55a22529caa486fcc0" ns2:_="" ns3:_="">
    <xsd:import namespace="8b492cc9-432a-403e-a2ec-bf361c12b05e"/>
    <xsd:import namespace="eade1b36-d7af-4f59-be45-322f76da42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92cc9-432a-403e-a2ec-bf361c12b0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059aaa5-9c21-406b-852f-5e50a3f01dae}" ma:internalName="TaxCatchAll" ma:showField="CatchAllData" ma:web="8b492cc9-432a-403e-a2ec-bf361c12b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e1b36-d7af-4f59-be45-322f76da4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Vaizdų žymės" ma:readOnly="false" ma:fieldId="{5cf76f15-5ced-4ddc-b409-7134ff3c332f}" ma:taxonomyMulti="true" ma:sspId="668eee37-f0ae-478b-bdae-ccdeef7cd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492cc9-432a-403e-a2ec-bf361c12b05e">
      <UserInfo>
        <DisplayName/>
        <AccountId xsi:nil="true"/>
        <AccountType/>
      </UserInfo>
    </SharedWithUsers>
    <TaxCatchAll xmlns="8b492cc9-432a-403e-a2ec-bf361c12b05e" xsi:nil="true"/>
    <lcf76f155ced4ddcb4097134ff3c332f xmlns="eade1b36-d7af-4f59-be45-322f76da42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AE4635-5C14-45AD-A883-F1A4F8CFA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92cc9-432a-403e-a2ec-bf361c12b05e"/>
    <ds:schemaRef ds:uri="eade1b36-d7af-4f59-be45-322f76da4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BDC459-B186-4F87-88F6-0ED2D6B5FC0D}">
  <ds:schemaRefs>
    <ds:schemaRef ds:uri="http://schemas.microsoft.com/office/2006/metadata/properties"/>
    <ds:schemaRef ds:uri="http://schemas.microsoft.com/office/infopath/2007/PartnerControls"/>
    <ds:schemaRef ds:uri="8b492cc9-432a-403e-a2ec-bf361c12b05e"/>
    <ds:schemaRef ds:uri="eade1b36-d7af-4f59-be45-322f76da4264"/>
  </ds:schemaRefs>
</ds:datastoreItem>
</file>

<file path=customXml/itemProps3.xml><?xml version="1.0" encoding="utf-8"?>
<ds:datastoreItem xmlns:ds="http://schemas.openxmlformats.org/officeDocument/2006/customXml" ds:itemID="{211CCECA-40F9-4AB4-A5A0-CD71ABBD62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2807</Words>
  <Characters>1601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UAB „Vilniaus apšvietimas“</dc:creator>
  <cp:keywords/>
  <dc:description/>
  <cp:lastModifiedBy>Deividas Dižavičius</cp:lastModifiedBy>
  <cp:revision>40</cp:revision>
  <dcterms:created xsi:type="dcterms:W3CDTF">2023-02-03T07:59:00Z</dcterms:created>
  <dcterms:modified xsi:type="dcterms:W3CDTF">2024-07-17T09:19:00Z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0x0101008C84D92E1DCBC4408D7B27F5F8804BC2</vt:lpwstr>
  </property>
  <property fmtid="{D5CDD505-2E9C-101B-9397-08002B2CF9AE}" pid="3" name="MediaServiceImageTags">
    <vt:lpwstr/>
  </property>
  <property fmtid="{D5CDD505-2E9C-101B-9397-08002B2CF9AE}" pid="4" name="Order">
    <vt:r8>20117700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