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6948" w:type="dxa"/>
        <w:tblLayout w:type="fixed"/>
        <w:tblLook w:val="04A0" w:firstRow="1" w:lastRow="0" w:firstColumn="1" w:lastColumn="0" w:noHBand="0" w:noVBand="1"/>
      </w:tblPr>
      <w:tblGrid>
        <w:gridCol w:w="2760"/>
      </w:tblGrid>
      <w:tr w:rsidR="001705F1" w:rsidRPr="001705F1" w14:paraId="1FCFD252" w14:textId="77777777" w:rsidTr="009B6A8E">
        <w:tc>
          <w:tcPr>
            <w:tcW w:w="2760" w:type="dxa"/>
            <w:hideMark/>
          </w:tcPr>
          <w:p w14:paraId="59E77712" w14:textId="41B49E9C" w:rsidR="001705F1" w:rsidRPr="001705F1" w:rsidRDefault="00A27910" w:rsidP="001705F1">
            <w:pPr>
              <w:suppressAutoHyphens/>
              <w:snapToGrid w:val="0"/>
              <w:spacing w:after="0" w:line="240" w:lineRule="auto"/>
              <w:jc w:val="right"/>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Sąlygų </w:t>
            </w:r>
            <w:r w:rsidR="001705F1">
              <w:rPr>
                <w:rFonts w:ascii="Times New Roman" w:eastAsia="Calibri" w:hAnsi="Times New Roman" w:cs="Times New Roman"/>
                <w:sz w:val="24"/>
                <w:szCs w:val="24"/>
                <w:lang w:eastAsia="ar-SA"/>
              </w:rPr>
              <w:t>p</w:t>
            </w:r>
            <w:r w:rsidR="001705F1" w:rsidRPr="001705F1">
              <w:rPr>
                <w:rFonts w:ascii="Times New Roman" w:eastAsia="Calibri" w:hAnsi="Times New Roman" w:cs="Times New Roman"/>
                <w:sz w:val="24"/>
                <w:szCs w:val="24"/>
                <w:lang w:eastAsia="ar-SA"/>
              </w:rPr>
              <w:t>riedas</w:t>
            </w:r>
            <w:r w:rsidR="001705F1">
              <w:rPr>
                <w:rFonts w:ascii="Times New Roman" w:eastAsia="Calibri" w:hAnsi="Times New Roman" w:cs="Times New Roman"/>
                <w:sz w:val="24"/>
                <w:szCs w:val="24"/>
                <w:lang w:eastAsia="ar-SA"/>
              </w:rPr>
              <w:t xml:space="preserve"> Nr.</w:t>
            </w:r>
            <w:r w:rsidR="005F373A">
              <w:rPr>
                <w:rFonts w:ascii="Times New Roman" w:eastAsia="Calibri" w:hAnsi="Times New Roman" w:cs="Times New Roman"/>
                <w:sz w:val="24"/>
                <w:szCs w:val="24"/>
                <w:lang w:eastAsia="ar-SA"/>
              </w:rPr>
              <w:t>5</w:t>
            </w:r>
          </w:p>
        </w:tc>
      </w:tr>
    </w:tbl>
    <w:p w14:paraId="02C45308" w14:textId="77777777" w:rsidR="001705F1" w:rsidRPr="001705F1" w:rsidRDefault="001705F1" w:rsidP="001705F1">
      <w:pPr>
        <w:shd w:val="clear" w:color="auto" w:fill="FFFFFF"/>
        <w:suppressAutoHyphens/>
        <w:spacing w:after="0" w:line="240" w:lineRule="auto"/>
        <w:rPr>
          <w:rFonts w:ascii="Times New Roman" w:eastAsia="Calibri" w:hAnsi="Times New Roman" w:cs="Times New Roman"/>
          <w:b/>
          <w:color w:val="000000"/>
          <w:sz w:val="24"/>
          <w:lang w:eastAsia="ar-SA"/>
        </w:rPr>
      </w:pPr>
    </w:p>
    <w:p w14:paraId="40B21912" w14:textId="77777777" w:rsidR="001705F1" w:rsidRPr="001705F1" w:rsidRDefault="001705F1" w:rsidP="001705F1">
      <w:pPr>
        <w:shd w:val="clear" w:color="auto" w:fill="FFFFFF"/>
        <w:suppressAutoHyphens/>
        <w:spacing w:after="0" w:line="240" w:lineRule="auto"/>
        <w:jc w:val="center"/>
        <w:rPr>
          <w:rFonts w:ascii="Times New Roman" w:eastAsia="Calibri" w:hAnsi="Times New Roman" w:cs="Times New Roman"/>
          <w:b/>
          <w:bCs/>
          <w:color w:val="000000"/>
          <w:sz w:val="24"/>
          <w:lang w:eastAsia="ar-SA"/>
        </w:rPr>
      </w:pPr>
    </w:p>
    <w:p w14:paraId="0B78A61B"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0"/>
          <w:szCs w:val="16"/>
          <w:lang w:eastAsia="ar-SA"/>
        </w:rPr>
      </w:pPr>
      <w:r w:rsidRPr="001705F1">
        <w:rPr>
          <w:rFonts w:ascii="Times New Roman" w:eastAsia="Calibri" w:hAnsi="Times New Roman" w:cs="Times New Roman"/>
          <w:sz w:val="20"/>
          <w:szCs w:val="16"/>
          <w:lang w:eastAsia="ar-SA"/>
        </w:rPr>
        <w:t>Herbas arba prekių ženklas</w:t>
      </w:r>
    </w:p>
    <w:p w14:paraId="2E8906C4"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0"/>
          <w:szCs w:val="16"/>
          <w:lang w:eastAsia="ar-SA"/>
        </w:rPr>
      </w:pPr>
    </w:p>
    <w:p w14:paraId="59D56671"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0"/>
          <w:szCs w:val="16"/>
          <w:lang w:eastAsia="ar-SA"/>
        </w:rPr>
      </w:pPr>
      <w:r w:rsidRPr="001705F1">
        <w:rPr>
          <w:rFonts w:ascii="Times New Roman" w:eastAsia="Calibri" w:hAnsi="Times New Roman" w:cs="Times New Roman"/>
          <w:sz w:val="20"/>
          <w:szCs w:val="16"/>
          <w:lang w:eastAsia="ar-SA"/>
        </w:rPr>
        <w:t>(Tiekėjo pavadinimas)</w:t>
      </w:r>
    </w:p>
    <w:p w14:paraId="6AC7E3B3"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8"/>
          <w:lang w:eastAsia="ar-SA"/>
        </w:rPr>
      </w:pPr>
    </w:p>
    <w:p w14:paraId="11774463"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0"/>
          <w:szCs w:val="16"/>
          <w:lang w:eastAsia="ar-SA"/>
        </w:rPr>
      </w:pPr>
      <w:r w:rsidRPr="001705F1">
        <w:rPr>
          <w:rFonts w:ascii="Times New Roman" w:eastAsia="Calibri" w:hAnsi="Times New Roman" w:cs="Times New Roman"/>
          <w:sz w:val="20"/>
          <w:szCs w:val="16"/>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7875545"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16"/>
          <w:szCs w:val="16"/>
          <w:lang w:eastAsia="ar-SA"/>
        </w:rPr>
      </w:pPr>
    </w:p>
    <w:p w14:paraId="0DDF009A" w14:textId="77777777" w:rsidR="001705F1" w:rsidRPr="001705F1" w:rsidRDefault="001705F1" w:rsidP="001705F1">
      <w:pPr>
        <w:suppressAutoHyphens/>
        <w:spacing w:after="0" w:line="240" w:lineRule="auto"/>
        <w:jc w:val="both"/>
        <w:rPr>
          <w:rFonts w:ascii="Times New Roman" w:eastAsia="Calibri" w:hAnsi="Times New Roman" w:cs="Times New Roman"/>
          <w:sz w:val="24"/>
          <w:szCs w:val="24"/>
          <w:lang w:eastAsia="ar-SA"/>
        </w:rPr>
      </w:pPr>
    </w:p>
    <w:p w14:paraId="3F26C0D4" w14:textId="2562B706" w:rsidR="001705F1" w:rsidRPr="001705F1" w:rsidRDefault="001705F1" w:rsidP="001705F1">
      <w:pPr>
        <w:suppressAutoHyphens/>
        <w:spacing w:after="0" w:line="240" w:lineRule="auto"/>
        <w:jc w:val="both"/>
        <w:rPr>
          <w:rFonts w:ascii="Times New Roman" w:eastAsia="Calibri" w:hAnsi="Times New Roman" w:cs="Times New Roman"/>
          <w:sz w:val="24"/>
          <w:szCs w:val="24"/>
          <w:lang w:eastAsia="ar-SA"/>
        </w:rPr>
      </w:pPr>
      <w:r w:rsidRPr="001705F1">
        <w:rPr>
          <w:rFonts w:ascii="Times New Roman" w:eastAsia="Calibri" w:hAnsi="Times New Roman" w:cs="Times New Roman"/>
          <w:sz w:val="24"/>
          <w:szCs w:val="24"/>
          <w:lang w:eastAsia="ar-SA"/>
        </w:rPr>
        <w:t>UAB „</w:t>
      </w:r>
      <w:r>
        <w:rPr>
          <w:rFonts w:ascii="Times New Roman" w:eastAsia="Calibri" w:hAnsi="Times New Roman" w:cs="Times New Roman"/>
          <w:sz w:val="24"/>
          <w:szCs w:val="24"/>
          <w:lang w:eastAsia="ar-SA"/>
        </w:rPr>
        <w:t>Vilniaus apšvietimas</w:t>
      </w:r>
      <w:r w:rsidRPr="001705F1">
        <w:rPr>
          <w:rFonts w:ascii="Times New Roman" w:eastAsia="Calibri" w:hAnsi="Times New Roman" w:cs="Times New Roman"/>
          <w:sz w:val="24"/>
          <w:szCs w:val="24"/>
          <w:lang w:eastAsia="ar-SA"/>
        </w:rPr>
        <w:t>“</w:t>
      </w:r>
    </w:p>
    <w:p w14:paraId="4CC05749" w14:textId="77777777" w:rsidR="001705F1" w:rsidRPr="001705F1" w:rsidRDefault="001705F1" w:rsidP="001705F1">
      <w:pPr>
        <w:suppressAutoHyphens/>
        <w:autoSpaceDE w:val="0"/>
        <w:spacing w:after="0" w:line="240" w:lineRule="auto"/>
        <w:rPr>
          <w:rFonts w:ascii="Times New Roman" w:eastAsia="Calibri" w:hAnsi="Times New Roman" w:cs="Times New Roman"/>
          <w:color w:val="000000"/>
          <w:sz w:val="24"/>
          <w:szCs w:val="24"/>
          <w:lang w:eastAsia="ar-SA"/>
        </w:rPr>
      </w:pPr>
    </w:p>
    <w:p w14:paraId="09E1764C" w14:textId="77777777" w:rsidR="001705F1" w:rsidRPr="001705F1" w:rsidRDefault="001705F1" w:rsidP="001705F1">
      <w:pPr>
        <w:suppressAutoHyphens/>
        <w:autoSpaceDE w:val="0"/>
        <w:spacing w:after="0" w:line="240" w:lineRule="auto"/>
        <w:rPr>
          <w:rFonts w:ascii="Times New Roman" w:eastAsia="Calibri" w:hAnsi="Times New Roman" w:cs="Times New Roman"/>
          <w:color w:val="000000"/>
          <w:sz w:val="24"/>
          <w:szCs w:val="24"/>
          <w:lang w:eastAsia="ar-SA"/>
        </w:rPr>
      </w:pPr>
    </w:p>
    <w:p w14:paraId="2983EEDE"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b/>
          <w:bCs/>
          <w:color w:val="000000"/>
          <w:sz w:val="28"/>
          <w:szCs w:val="28"/>
          <w:lang w:eastAsia="ar-SA"/>
        </w:rPr>
      </w:pPr>
      <w:r w:rsidRPr="001705F1">
        <w:rPr>
          <w:rFonts w:ascii="Times New Roman" w:eastAsia="Calibri" w:hAnsi="Times New Roman" w:cs="Times New Roman"/>
          <w:b/>
          <w:bCs/>
          <w:color w:val="000000"/>
          <w:sz w:val="28"/>
          <w:szCs w:val="28"/>
          <w:lang w:eastAsia="ar-SA"/>
        </w:rPr>
        <w:t>DEKLARACIJA</w:t>
      </w:r>
    </w:p>
    <w:p w14:paraId="456F8966"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color w:val="000000"/>
          <w:sz w:val="28"/>
          <w:szCs w:val="28"/>
          <w:lang w:eastAsia="ar-SA"/>
        </w:rPr>
      </w:pPr>
    </w:p>
    <w:p w14:paraId="62F6E438"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b/>
          <w:bCs/>
          <w:color w:val="000000"/>
          <w:sz w:val="23"/>
          <w:szCs w:val="23"/>
          <w:lang w:eastAsia="ar-SA"/>
        </w:rPr>
      </w:pPr>
      <w:r w:rsidRPr="001705F1">
        <w:rPr>
          <w:rFonts w:ascii="Times New Roman" w:eastAsia="Calibri" w:hAnsi="Times New Roman" w:cs="Times New Roman"/>
          <w:b/>
          <w:bCs/>
          <w:color w:val="000000"/>
          <w:sz w:val="23"/>
          <w:szCs w:val="23"/>
          <w:lang w:eastAsia="ar-SA"/>
        </w:rPr>
        <w:t>Dėl atitikties Reglamento (ES) 2022/576 reikalavimams</w:t>
      </w:r>
    </w:p>
    <w:p w14:paraId="349E3434"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b/>
          <w:bCs/>
          <w:color w:val="000000"/>
          <w:sz w:val="23"/>
          <w:szCs w:val="23"/>
          <w:lang w:eastAsia="ar-SA"/>
        </w:rPr>
      </w:pPr>
    </w:p>
    <w:p w14:paraId="34456C08"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(data)</w:t>
      </w:r>
    </w:p>
    <w:p w14:paraId="664E5123" w14:textId="77777777" w:rsidR="001705F1" w:rsidRPr="001705F1" w:rsidRDefault="001705F1" w:rsidP="00A27910">
      <w:pPr>
        <w:suppressAutoHyphens/>
        <w:autoSpaceDE w:val="0"/>
        <w:spacing w:after="0" w:line="240" w:lineRule="auto"/>
        <w:ind w:left="426" w:hanging="426"/>
        <w:rPr>
          <w:rFonts w:ascii="Times New Roman" w:eastAsia="Calibri" w:hAnsi="Times New Roman" w:cs="Times New Roman"/>
          <w:color w:val="000000"/>
          <w:sz w:val="28"/>
          <w:szCs w:val="28"/>
          <w:lang w:eastAsia="ar-SA"/>
        </w:rPr>
      </w:pPr>
    </w:p>
    <w:p w14:paraId="658B8A92" w14:textId="77777777" w:rsidR="001705F1" w:rsidRPr="001705F1" w:rsidRDefault="001705F1" w:rsidP="00A27910">
      <w:pPr>
        <w:suppressAutoHyphens/>
        <w:autoSpaceDE w:val="0"/>
        <w:spacing w:after="0" w:line="240" w:lineRule="auto"/>
        <w:ind w:left="426" w:hanging="426"/>
        <w:rPr>
          <w:rFonts w:ascii="Times New Roman" w:eastAsia="Calibri" w:hAnsi="Times New Roman" w:cs="Times New Roman"/>
          <w:color w:val="000000"/>
          <w:sz w:val="28"/>
          <w:szCs w:val="28"/>
          <w:lang w:eastAsia="ar-SA"/>
        </w:rPr>
      </w:pPr>
    </w:p>
    <w:p w14:paraId="35500198" w14:textId="77777777" w:rsidR="001705F1" w:rsidRPr="001705F1" w:rsidRDefault="001705F1" w:rsidP="00A27910">
      <w:pPr>
        <w:numPr>
          <w:ilvl w:val="0"/>
          <w:numId w:val="1"/>
        </w:numPr>
        <w:suppressAutoHyphens/>
        <w:autoSpaceDE w:val="0"/>
        <w:autoSpaceDN w:val="0"/>
        <w:adjustRightInd w:val="0"/>
        <w:spacing w:after="0" w:line="240" w:lineRule="auto"/>
        <w:ind w:left="426" w:hanging="426"/>
        <w:jc w:val="both"/>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 xml:space="preserve">Patvirtiname, kad tiekėjas </w:t>
      </w:r>
      <w:r w:rsidRPr="001705F1">
        <w:rPr>
          <w:rFonts w:ascii="Times New Roman" w:eastAsia="Calibri" w:hAnsi="Times New Roman" w:cs="Times New Roman"/>
          <w:b/>
          <w:color w:val="000000"/>
          <w:sz w:val="24"/>
          <w:szCs w:val="24"/>
          <w:lang w:eastAsia="ar-SA"/>
        </w:rPr>
        <w:t>______________</w:t>
      </w:r>
      <w:r w:rsidRPr="001705F1">
        <w:rPr>
          <w:rFonts w:ascii="Times New Roman" w:eastAsia="Calibri" w:hAnsi="Times New Roman" w:cs="Times New Roman"/>
          <w:color w:val="000000"/>
          <w:sz w:val="24"/>
          <w:szCs w:val="24"/>
          <w:lang w:eastAsia="ar-SA"/>
        </w:rPr>
        <w:t xml:space="preserve"> (juridinio asmens kodas </w:t>
      </w:r>
      <w:r w:rsidRPr="001705F1">
        <w:rPr>
          <w:rFonts w:ascii="Times New Roman" w:eastAsia="Calibri" w:hAnsi="Times New Roman" w:cs="Times New Roman"/>
          <w:b/>
          <w:color w:val="000000"/>
          <w:sz w:val="24"/>
          <w:szCs w:val="24"/>
          <w:lang w:eastAsia="ar-SA"/>
        </w:rPr>
        <w:t xml:space="preserve">__________) </w:t>
      </w:r>
      <w:r w:rsidRPr="001705F1">
        <w:rPr>
          <w:rFonts w:ascii="Times New Roman" w:eastAsia="Calibri" w:hAnsi="Times New Roman" w:cs="Times New Roman"/>
          <w:color w:val="000000"/>
          <w:sz w:val="24"/>
          <w:szCs w:val="24"/>
          <w:lang w:eastAsia="ar-SA"/>
        </w:rPr>
        <w:t xml:space="preserve">nepatenka į Europos Sąjungos Tarybos 2022 m. balandžio 8 d. priimto Tarybos Reglamento (ES) 2022/576 numatytus apribojimus, kuriais numatoma, jog draudžiama skirti ar toliau vykdyti visas viešąsias sutartis ir koncesijų sutartis, kurioms taikomos viešųjų pirkimų direktyvos, taip pat Direktyvos 2014/23/ES 10 straipsnio 1, 3 dalys, 6 dalies a–e punktai, 8, 9 ir 10 dalys, 11, 12, 13 ir 14 straipsniai, Direktyvos 2014/24/ES 7 ir 8 straipsniai, 10 straipsnio b–f ir h–j punktai, Direktyvos 2014/25/ES 18 straipsnis, 21 straipsnio b–e ir g–i punktai, 29 ir 30 straipsniai, Direktyvos 2009/81/EB 13 straipsnio a–d, f–h ir j punktai, su: </w:t>
      </w:r>
    </w:p>
    <w:p w14:paraId="5959F60A" w14:textId="77777777" w:rsidR="001705F1" w:rsidRPr="001705F1" w:rsidRDefault="001705F1" w:rsidP="00A27910">
      <w:pPr>
        <w:suppressAutoHyphens/>
        <w:autoSpaceDE w:val="0"/>
        <w:spacing w:after="0" w:line="240" w:lineRule="auto"/>
        <w:ind w:left="426"/>
        <w:jc w:val="both"/>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 xml:space="preserve">a) Rusijos piliečiu, fiziniu ar juridiniu asmeniu, subjektu ar organizacija, įsisteigusiais Rusijoje; </w:t>
      </w:r>
    </w:p>
    <w:p w14:paraId="6B40C4F5" w14:textId="7AC45236" w:rsidR="001705F1" w:rsidRPr="001705F1" w:rsidRDefault="001705F1" w:rsidP="00A27910">
      <w:pPr>
        <w:suppressAutoHyphens/>
        <w:autoSpaceDE w:val="0"/>
        <w:spacing w:after="0" w:line="240" w:lineRule="auto"/>
        <w:ind w:left="426"/>
        <w:jc w:val="both"/>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b) juridiniu asmeniu, subjektu ar organizacija, kuriuose daugiau kaip 50 %  nuosavybės teisių tiesiogiai ar netiesiogiai priklauso šios dalies a punkte nurodytam subjektui, arba c) fiziniu ar juridiniu asmeniu, subjektu ar organizacija, veikiančiais šios dalies a arba b punkte nurodyto subjekto vardu ar jo nurodymu, be kita ko, tais atvejais, kai jiems tenka 10 % sutarties vertės, su sub</w:t>
      </w:r>
      <w:r w:rsidR="00A27910">
        <w:rPr>
          <w:rFonts w:ascii="Times New Roman" w:eastAsia="Calibri" w:hAnsi="Times New Roman" w:cs="Times New Roman"/>
          <w:color w:val="000000"/>
          <w:sz w:val="24"/>
          <w:szCs w:val="24"/>
          <w:lang w:eastAsia="ar-SA"/>
        </w:rPr>
        <w:t>tiekėjais</w:t>
      </w:r>
      <w:r w:rsidRPr="001705F1">
        <w:rPr>
          <w:rFonts w:ascii="Times New Roman" w:eastAsia="Calibri" w:hAnsi="Times New Roman" w:cs="Times New Roman"/>
          <w:color w:val="000000"/>
          <w:sz w:val="24"/>
          <w:szCs w:val="24"/>
          <w:lang w:eastAsia="ar-SA"/>
        </w:rPr>
        <w:t xml:space="preserve">, ar subjektais, kurių pajėgumais remiamasi, kaip nurodyta viešųjų pirkimų direktyvose. </w:t>
      </w:r>
    </w:p>
    <w:p w14:paraId="2ED0D75A" w14:textId="77777777" w:rsidR="001705F1" w:rsidRPr="001705F1" w:rsidRDefault="001705F1" w:rsidP="00A27910">
      <w:pPr>
        <w:numPr>
          <w:ilvl w:val="0"/>
          <w:numId w:val="1"/>
        </w:numPr>
        <w:suppressAutoHyphens/>
        <w:autoSpaceDE w:val="0"/>
        <w:autoSpaceDN w:val="0"/>
        <w:adjustRightInd w:val="0"/>
        <w:spacing w:after="0" w:line="240" w:lineRule="auto"/>
        <w:ind w:left="426" w:hanging="426"/>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 xml:space="preserve">Patvirtiname, kad kilus įtarimams, pateiksime įrodančius dokumentus. </w:t>
      </w:r>
    </w:p>
    <w:p w14:paraId="1CE26459" w14:textId="77777777" w:rsidR="001705F1" w:rsidRPr="001705F1" w:rsidRDefault="001705F1" w:rsidP="00A27910">
      <w:pPr>
        <w:suppressAutoHyphens/>
        <w:autoSpaceDE w:val="0"/>
        <w:spacing w:after="0" w:line="240" w:lineRule="auto"/>
        <w:ind w:left="426" w:hanging="426"/>
        <w:rPr>
          <w:rFonts w:ascii="Times New Roman" w:eastAsia="Calibri" w:hAnsi="Times New Roman" w:cs="Times New Roman"/>
          <w:color w:val="000000"/>
          <w:sz w:val="24"/>
          <w:szCs w:val="24"/>
          <w:lang w:eastAsia="ar-SA"/>
        </w:rPr>
      </w:pPr>
    </w:p>
    <w:p w14:paraId="34307D34" w14:textId="77777777" w:rsidR="001705F1" w:rsidRPr="001705F1" w:rsidRDefault="001705F1" w:rsidP="001705F1">
      <w:pPr>
        <w:suppressAutoHyphens/>
        <w:autoSpaceDE w:val="0"/>
        <w:spacing w:after="0" w:line="240" w:lineRule="auto"/>
        <w:ind w:left="720"/>
        <w:rPr>
          <w:rFonts w:ascii="Times New Roman" w:eastAsia="Calibri" w:hAnsi="Times New Roman" w:cs="Times New Roman"/>
          <w:color w:val="000000"/>
          <w:sz w:val="26"/>
          <w:szCs w:val="26"/>
          <w:lang w:eastAsia="ar-SA"/>
        </w:rPr>
      </w:pPr>
    </w:p>
    <w:p w14:paraId="434009AF" w14:textId="77777777" w:rsidR="001705F1" w:rsidRPr="001705F1" w:rsidRDefault="001705F1" w:rsidP="001705F1">
      <w:pPr>
        <w:suppressAutoHyphens/>
        <w:autoSpaceDE w:val="0"/>
        <w:spacing w:after="0" w:line="240" w:lineRule="auto"/>
        <w:ind w:left="720"/>
        <w:rPr>
          <w:rFonts w:ascii="Times New Roman" w:eastAsia="Calibri" w:hAnsi="Times New Roman" w:cs="Times New Roman"/>
          <w:color w:val="000000"/>
          <w:sz w:val="26"/>
          <w:szCs w:val="26"/>
          <w:lang w:eastAsia="ar-SA"/>
        </w:rPr>
      </w:pPr>
    </w:p>
    <w:p w14:paraId="0AC05798" w14:textId="77777777" w:rsidR="001705F1" w:rsidRPr="001705F1" w:rsidRDefault="001705F1" w:rsidP="001705F1">
      <w:pPr>
        <w:suppressAutoHyphens/>
        <w:autoSpaceDE w:val="0"/>
        <w:spacing w:after="0" w:line="240" w:lineRule="auto"/>
        <w:ind w:left="720"/>
        <w:rPr>
          <w:rFonts w:ascii="Times New Roman" w:eastAsia="Calibri" w:hAnsi="Times New Roman" w:cs="Times New Roman"/>
          <w:color w:val="000000"/>
          <w:sz w:val="26"/>
          <w:szCs w:val="26"/>
          <w:lang w:eastAsia="ar-SA"/>
        </w:rPr>
      </w:pPr>
    </w:p>
    <w:tbl>
      <w:tblPr>
        <w:tblW w:w="0" w:type="auto"/>
        <w:tblLayout w:type="fixed"/>
        <w:tblLook w:val="04A0" w:firstRow="1" w:lastRow="0" w:firstColumn="1" w:lastColumn="0" w:noHBand="0" w:noVBand="1"/>
      </w:tblPr>
      <w:tblGrid>
        <w:gridCol w:w="3284"/>
        <w:gridCol w:w="604"/>
        <w:gridCol w:w="1980"/>
        <w:gridCol w:w="701"/>
        <w:gridCol w:w="2611"/>
      </w:tblGrid>
      <w:tr w:rsidR="001705F1" w:rsidRPr="001705F1" w14:paraId="0C53B61A" w14:textId="77777777" w:rsidTr="009B6A8E">
        <w:trPr>
          <w:trHeight w:val="186"/>
        </w:trPr>
        <w:tc>
          <w:tcPr>
            <w:tcW w:w="3284" w:type="dxa"/>
            <w:tcBorders>
              <w:top w:val="single" w:sz="4" w:space="0" w:color="000000"/>
              <w:left w:val="nil"/>
              <w:bottom w:val="nil"/>
              <w:right w:val="nil"/>
            </w:tcBorders>
            <w:hideMark/>
          </w:tcPr>
          <w:p w14:paraId="0FED0D9B" w14:textId="77777777" w:rsidR="001705F1" w:rsidRPr="001705F1" w:rsidRDefault="001705F1" w:rsidP="001705F1">
            <w:pPr>
              <w:suppressAutoHyphens/>
              <w:snapToGrid w:val="0"/>
              <w:spacing w:after="0" w:line="256" w:lineRule="auto"/>
              <w:rPr>
                <w:rFonts w:ascii="Times New Roman" w:eastAsia="Times New Roman" w:hAnsi="Times New Roman" w:cs="Times New Roman"/>
                <w:position w:val="2"/>
                <w:sz w:val="24"/>
                <w:szCs w:val="24"/>
                <w:lang w:eastAsia="ar-SA"/>
              </w:rPr>
            </w:pPr>
            <w:r w:rsidRPr="001705F1">
              <w:rPr>
                <w:rFonts w:ascii="Times New Roman" w:eastAsia="Times New Roman" w:hAnsi="Times New Roman" w:cs="Times New Roman"/>
                <w:position w:val="2"/>
                <w:sz w:val="24"/>
                <w:szCs w:val="24"/>
                <w:lang w:eastAsia="ar-SA"/>
              </w:rPr>
              <w:t>(Tiekėjo arba jo įgalioto asmens pareigų pavadinimas)</w:t>
            </w:r>
          </w:p>
          <w:p w14:paraId="142FAD4E" w14:textId="77777777" w:rsidR="001705F1" w:rsidRPr="001705F1" w:rsidRDefault="001705F1" w:rsidP="001705F1">
            <w:pPr>
              <w:suppressAutoHyphens/>
              <w:snapToGrid w:val="0"/>
              <w:spacing w:after="0" w:line="256" w:lineRule="auto"/>
              <w:rPr>
                <w:rFonts w:ascii="Times New Roman" w:eastAsia="Times New Roman" w:hAnsi="Times New Roman" w:cs="Times New Roman"/>
                <w:position w:val="2"/>
                <w:sz w:val="24"/>
                <w:szCs w:val="24"/>
                <w:lang w:eastAsia="ar-SA"/>
              </w:rPr>
            </w:pPr>
          </w:p>
        </w:tc>
        <w:tc>
          <w:tcPr>
            <w:tcW w:w="604" w:type="dxa"/>
          </w:tcPr>
          <w:p w14:paraId="04185372" w14:textId="77777777" w:rsidR="001705F1" w:rsidRPr="001705F1" w:rsidRDefault="001705F1" w:rsidP="001705F1">
            <w:pPr>
              <w:suppressAutoHyphens/>
              <w:snapToGrid w:val="0"/>
              <w:spacing w:after="200" w:line="276" w:lineRule="auto"/>
              <w:ind w:right="-1"/>
              <w:jc w:val="center"/>
              <w:rPr>
                <w:rFonts w:ascii="Times New Roman" w:eastAsia="Calibri" w:hAnsi="Times New Roman" w:cs="Times New Roman"/>
                <w:sz w:val="24"/>
                <w:szCs w:val="24"/>
                <w:lang w:eastAsia="ar-SA"/>
              </w:rPr>
            </w:pPr>
          </w:p>
        </w:tc>
        <w:tc>
          <w:tcPr>
            <w:tcW w:w="1980" w:type="dxa"/>
            <w:tcBorders>
              <w:top w:val="single" w:sz="4" w:space="0" w:color="000000"/>
              <w:left w:val="nil"/>
              <w:bottom w:val="nil"/>
              <w:right w:val="nil"/>
            </w:tcBorders>
            <w:hideMark/>
          </w:tcPr>
          <w:p w14:paraId="3445E22E" w14:textId="77777777" w:rsidR="001705F1" w:rsidRPr="001705F1" w:rsidRDefault="001705F1" w:rsidP="001705F1">
            <w:pPr>
              <w:suppressAutoHyphens/>
              <w:snapToGrid w:val="0"/>
              <w:spacing w:after="200" w:line="276" w:lineRule="auto"/>
              <w:ind w:right="-1"/>
              <w:jc w:val="center"/>
              <w:rPr>
                <w:rFonts w:ascii="Times New Roman" w:eastAsia="Calibri" w:hAnsi="Times New Roman" w:cs="Times New Roman"/>
                <w:i/>
                <w:sz w:val="24"/>
                <w:szCs w:val="24"/>
                <w:lang w:eastAsia="ar-SA"/>
              </w:rPr>
            </w:pPr>
            <w:r w:rsidRPr="001705F1">
              <w:rPr>
                <w:rFonts w:ascii="Times New Roman" w:eastAsia="Calibri" w:hAnsi="Times New Roman" w:cs="Times New Roman"/>
                <w:position w:val="6"/>
                <w:sz w:val="24"/>
                <w:szCs w:val="24"/>
                <w:lang w:eastAsia="ar-SA"/>
              </w:rPr>
              <w:t>(Parašas)</w:t>
            </w:r>
            <w:r w:rsidRPr="001705F1">
              <w:rPr>
                <w:rFonts w:ascii="Times New Roman" w:eastAsia="Calibri" w:hAnsi="Times New Roman" w:cs="Times New Roman"/>
                <w:i/>
                <w:sz w:val="24"/>
                <w:szCs w:val="24"/>
                <w:lang w:eastAsia="ar-SA"/>
              </w:rPr>
              <w:t xml:space="preserve"> </w:t>
            </w:r>
          </w:p>
        </w:tc>
        <w:tc>
          <w:tcPr>
            <w:tcW w:w="701" w:type="dxa"/>
          </w:tcPr>
          <w:p w14:paraId="7802C72A" w14:textId="77777777" w:rsidR="001705F1" w:rsidRPr="001705F1" w:rsidRDefault="001705F1" w:rsidP="001705F1">
            <w:pPr>
              <w:suppressAutoHyphens/>
              <w:snapToGrid w:val="0"/>
              <w:spacing w:after="200" w:line="276" w:lineRule="auto"/>
              <w:ind w:right="-1"/>
              <w:jc w:val="center"/>
              <w:rPr>
                <w:rFonts w:ascii="Times New Roman" w:eastAsia="Calibri" w:hAnsi="Times New Roman" w:cs="Times New Roman"/>
                <w:sz w:val="24"/>
                <w:szCs w:val="24"/>
                <w:lang w:eastAsia="ar-SA"/>
              </w:rPr>
            </w:pPr>
          </w:p>
        </w:tc>
        <w:tc>
          <w:tcPr>
            <w:tcW w:w="2611" w:type="dxa"/>
            <w:tcBorders>
              <w:top w:val="single" w:sz="4" w:space="0" w:color="000000"/>
              <w:left w:val="nil"/>
              <w:bottom w:val="nil"/>
              <w:right w:val="nil"/>
            </w:tcBorders>
            <w:hideMark/>
          </w:tcPr>
          <w:p w14:paraId="1D9F88E7" w14:textId="77777777" w:rsidR="001705F1" w:rsidRPr="001705F1" w:rsidRDefault="001705F1" w:rsidP="001705F1">
            <w:pPr>
              <w:suppressAutoHyphens/>
              <w:snapToGrid w:val="0"/>
              <w:spacing w:after="200" w:line="276" w:lineRule="auto"/>
              <w:ind w:right="-1"/>
              <w:jc w:val="center"/>
              <w:rPr>
                <w:rFonts w:ascii="Times New Roman" w:eastAsia="Calibri" w:hAnsi="Times New Roman" w:cs="Times New Roman"/>
                <w:i/>
                <w:sz w:val="24"/>
                <w:szCs w:val="24"/>
                <w:lang w:eastAsia="ar-SA"/>
              </w:rPr>
            </w:pPr>
            <w:r w:rsidRPr="001705F1">
              <w:rPr>
                <w:rFonts w:ascii="Times New Roman" w:eastAsia="Calibri" w:hAnsi="Times New Roman" w:cs="Times New Roman"/>
                <w:position w:val="6"/>
                <w:sz w:val="24"/>
                <w:szCs w:val="24"/>
                <w:lang w:eastAsia="ar-SA"/>
              </w:rPr>
              <w:t>(Vardas ir pavardė)</w:t>
            </w:r>
            <w:r w:rsidRPr="001705F1">
              <w:rPr>
                <w:rFonts w:ascii="Times New Roman" w:eastAsia="Calibri" w:hAnsi="Times New Roman" w:cs="Times New Roman"/>
                <w:i/>
                <w:sz w:val="24"/>
                <w:szCs w:val="24"/>
                <w:lang w:eastAsia="ar-SA"/>
              </w:rPr>
              <w:t xml:space="preserve"> </w:t>
            </w:r>
          </w:p>
        </w:tc>
      </w:tr>
    </w:tbl>
    <w:p w14:paraId="33FEFC5D" w14:textId="77777777" w:rsidR="005F098B" w:rsidRDefault="005F098B" w:rsidP="001705F1">
      <w:pPr>
        <w:ind w:left="142"/>
      </w:pPr>
    </w:p>
    <w:sectPr w:rsidR="005F098B" w:rsidSect="00A27910">
      <w:pgSz w:w="11906" w:h="16838"/>
      <w:pgMar w:top="1276" w:right="70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F800DC"/>
    <w:multiLevelType w:val="hybridMultilevel"/>
    <w:tmpl w:val="3CF62AD2"/>
    <w:lvl w:ilvl="0" w:tplc="E5440C6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1757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5F1"/>
    <w:rsid w:val="001705F1"/>
    <w:rsid w:val="003B29F0"/>
    <w:rsid w:val="003C4C84"/>
    <w:rsid w:val="005F098B"/>
    <w:rsid w:val="005F373A"/>
    <w:rsid w:val="006B66ED"/>
    <w:rsid w:val="00A27910"/>
    <w:rsid w:val="00D176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805E4"/>
  <w15:chartTrackingRefBased/>
  <w15:docId w15:val="{24C3F91A-0BA7-43D9-BA2B-D17763B0E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514ACC64-3379-4DAA-9358-5753400CB0D5}"/>
</file>

<file path=customXml/itemProps2.xml><?xml version="1.0" encoding="utf-8"?>
<ds:datastoreItem xmlns:ds="http://schemas.openxmlformats.org/officeDocument/2006/customXml" ds:itemID="{8E38FABA-4AB1-4D32-BFFE-A5F013D0062E}">
  <ds:schemaRefs>
    <ds:schemaRef ds:uri="http://schemas.microsoft.com/sharepoint/v3/contenttype/forms"/>
  </ds:schemaRefs>
</ds:datastoreItem>
</file>

<file path=customXml/itemProps3.xml><?xml version="1.0" encoding="utf-8"?>
<ds:datastoreItem xmlns:ds="http://schemas.openxmlformats.org/officeDocument/2006/customXml" ds:itemID="{BFF6F8DC-766B-4C94-83FF-91637809EF1C}">
  <ds:schemaRefs>
    <ds:schemaRef ds:uri="http://schemas.microsoft.com/office/2006/metadata/properties"/>
    <ds:schemaRef ds:uri="http://schemas.microsoft.com/office/infopath/2007/PartnerControls"/>
    <ds:schemaRef ds:uri="8b492cc9-432a-403e-a2ec-bf361c12b05e"/>
    <ds:schemaRef ds:uri="4f920189-3a7e-418c-a889-79e390702b00"/>
    <ds:schemaRef ds:uri="686ce7da-9268-427c-a567-41266b9ad8a3"/>
    <ds:schemaRef ds:uri="b68ede07-d239-45d7-b401-48bf9b3920a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1222</Words>
  <Characters>698</Characters>
  <Application>Microsoft Office Word</Application>
  <DocSecurity>0</DocSecurity>
  <Lines>5</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5</cp:revision>
  <dcterms:created xsi:type="dcterms:W3CDTF">2023-02-14T17:21:00Z</dcterms:created>
  <dcterms:modified xsi:type="dcterms:W3CDTF">2024-11-19T11:34:00Z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y fmtid="{D5CDD505-2E9C-101B-9397-08002B2CF9AE}" pid="4" name="Order">
    <vt:r8>7485000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